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cstheme="minorHAnsi"/>
          <w:b/>
          <w:color w:val="333333"/>
        </w:rPr>
      </w:pPr>
      <w:r w:rsidRPr="00A91D44">
        <w:rPr>
          <w:rFonts w:cstheme="minorHAnsi"/>
          <w:b/>
          <w:color w:val="333333"/>
        </w:rPr>
        <w:t>REGIME DE APLICAÇÃO DA OPERAÇÃO 3.1.1, 'JOVENS AGRICULTORES', DA AÇÃO N.º 3.1, 'JOVENS AGRICULTORES', INTEGRADA NA MEDIDA N.º 3, 'VALORIZAÇÃO DA PRODUÇÃO AGRÍCOLA', DA ÁREA N.º 2, 'COMPETITIVIDADE E ORGANIZAÇÃO DA PRODUÇÃO', DO PROGRAMA DE DESENVOLVIMENTO RURAL DO CONTINENTE, ABREVIADAMENTE DESIGNADO POR PDR 2020.</w:t>
      </w:r>
    </w:p>
    <w:p w:rsidR="00884C70" w:rsidRPr="00A91D44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b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b/>
          <w:lang w:eastAsia="pt-PT"/>
        </w:rPr>
      </w:pPr>
      <w:r w:rsidRPr="00CD1009">
        <w:rPr>
          <w:rFonts w:eastAsia="Times New Roman" w:cstheme="minorHAnsi"/>
          <w:b/>
          <w:lang w:eastAsia="pt-PT"/>
        </w:rPr>
        <w:t>Portaria n.º 31/2015</w:t>
      </w:r>
      <w:r>
        <w:rPr>
          <w:rFonts w:eastAsia="Times New Roman" w:cstheme="minorHAnsi"/>
          <w:b/>
          <w:lang w:eastAsia="pt-PT"/>
        </w:rPr>
        <w:t>,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de 12 de fevereiro</w:t>
      </w:r>
      <w:r>
        <w:rPr>
          <w:rFonts w:eastAsia="Times New Roman" w:cstheme="minorHAnsi"/>
          <w:lang w:eastAsia="pt-PT"/>
        </w:rPr>
        <w:t>.</w:t>
      </w:r>
      <w:r>
        <w:rPr>
          <w:rStyle w:val="Refdenotaderodap"/>
          <w:rFonts w:eastAsia="Times New Roman" w:cstheme="minorHAnsi"/>
          <w:lang w:eastAsia="pt-PT"/>
        </w:rPr>
        <w:footnoteReference w:id="1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O Decreto-Lei n.º 137/2014, de 12 de setembro, estabeleceu o modelo de governação dos fundos europeus estruturais e de investimento (FEEI), entre os quais se inclui o Fundo Europeu Agrícola e de Desenvolvimento Rural (FEADER), determinou a estruturação operacional deste fundo em três programas de desenvolvimento rural, um para o continente, designado PDR 2020, outro para a região autónoma dos Açores, designado PRORURAL+, e outro para a região autónoma da Madeira, designado PRODERAM 2020.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O PDR 2020 foi aprovado formalmente pela Comissão Europeia através da Decisão C (2014) 9896 final, de 12 de dezembro de 2014.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Na arquitetura do PDR 2020, à área relativa à «Competitividade e organização da produção», corresponde uma visão da estratégia nacional para o desenvolvimento rural, no domínio do apoio às empresas, que tem como princípio determinante a concentração dos apoios no sector e na produção de bens transacionáveis dirigidas aos agentes económicos diretamente envolvidos na criação de valor, a partir de atividades agrícolas e agroalimentares e assente numa gestão eficiente dos recursos.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Inserida na referida área de «Competitividade e organização da produção», encontramos a Medida «Valorização da Produção Agrícola», que contempla vários instrumentos, nomeadamente ao nível das taxas de apoio e outras majorações, concebidos para criar condições que potenciem, de forma abrangente ao longo do território, o empreendedorismo com base em decisões de iniciativa privada, que visem um aumento sustentável do valor acrescentado das explorações agrícolas.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 xml:space="preserve">Neste quadro, a ação «Jovens agricultores», deve contribuir para a renovação e melhoria na gestão das explorações agrícolas, com a promoção do acesso à terra, nomeadamente a jovens </w:t>
      </w:r>
      <w:r w:rsidRPr="00CD1009">
        <w:rPr>
          <w:rFonts w:eastAsia="Times New Roman" w:cstheme="minorHAnsi"/>
          <w:lang w:eastAsia="pt-PT"/>
        </w:rPr>
        <w:lastRenderedPageBreak/>
        <w:t>qualificados, sendo a formação técnica empresarial determinante para o aumento sustentável da capacidade de gerar valor pelo sector agrícola.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 renovação geracional e a entrada de novos agricultores, com melhores qualificações técnicas e de gestão, é fundamental para a dinamização do sector, contribuindo para contrariar o grau de envelhecimento acentuado e o nível de educação baixo, com as inerentes dificuldades na adesão a formas de agricultura mais eficientes e sustentáveis promovendo a ocupação dos territórios rurais.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 experiência recente caracteriza-se por uma procura crescente de jovens empreendedores com projetos inovadores na utilização do recurso terra e no desenvolvimento empresarial do meio rural.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Deste modo, esta ação procura aumentar a atratividade do sector a jovens investidores, através do apoio à primeira instalação na atividade agrícola, promovendo o investimento, a organização da produção e a transferência de conhecimento.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 necessidade de ter uma resposta consistente para a sustentabilidade económica de primeiras instalações traduz-se numa corresponsabilização do jovem agricultor, quer ao nível da sua formação, quer ao nível financeiro, quer ainda ao nível da participação no mercado através de Organizações de Produtores.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Assim: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Manda o Governo, pelo Secretário de Estado da Agricultura, ao abrigo da alínea b) do n.º 2 do artigo 5.º do Decreto-Lei n.º 159/2014, de 27 de outubro, e no uso das competências delegadas através do Despacho n.º 12256-A/2014, publicado no Diário da República, 2.ª série, n.º 191, de 3 de outubro de 2014, o seguinte: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CAPÍTULO I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Disposições gerais</w:t>
      </w:r>
    </w:p>
    <w:p w:rsidR="00884C70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1.º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Objeto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667A1C">
        <w:rPr>
          <w:rFonts w:cstheme="minorHAnsi"/>
        </w:rPr>
        <w:t>A presente portaria estabelece o regime de aplicação da operação 3.1.1, 'Jovens agricultores', da ação n.º 3.1, 'Jovens agricultores', integrada na medida n.º 3, 'Valorização da produção agrícola', da área n.º 2, 'Competitividade e organização da produção', do Programa de Desenvolvimento Rural do Continente, abreviadamente designado por PDR 2020.</w:t>
      </w:r>
      <w:r>
        <w:rPr>
          <w:rStyle w:val="Refdenotaderodap"/>
          <w:rFonts w:eastAsia="Times New Roman" w:cstheme="minorHAnsi"/>
          <w:lang w:eastAsia="pt-PT"/>
        </w:rPr>
        <w:footnoteReference w:id="2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lastRenderedPageBreak/>
        <w:t>Artigo 2.º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Objetivos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O apoio previsto na presente portaria prossegue os seguintes objetivos: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a) Fomentar a renovação e o rejuvenescimento das empresas agrícolas;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b) Aumentar a atratividade do sector agrícola aos jovens investidores, promovendo o investimento, o apoio à aquisição de terras, a transferência de conhecimentos e a participação no mercado.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3.º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Definições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Para efeitos da presente portaria, e para além das definições constantes do artigo 3.º do Decreto-Lei n.º 159/2014, de 27 de outubro, entende-se por:</w:t>
      </w:r>
    </w:p>
    <w:p w:rsidR="00884C70" w:rsidRPr="00A91D44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A91D44">
        <w:rPr>
          <w:rFonts w:cstheme="minorHAnsi"/>
        </w:rPr>
        <w:t xml:space="preserve">a) 'Agricultor ativo', a pessoa singular ou coletiva, de natureza pública ou privada, que exerça atividade agrícola, não sendo aplicáveis </w:t>
      </w:r>
      <w:r>
        <w:rPr>
          <w:rFonts w:cstheme="minorHAnsi"/>
        </w:rPr>
        <w:t>as disposições previstas nos n.º</w:t>
      </w:r>
      <w:r w:rsidRPr="00A91D44">
        <w:rPr>
          <w:rFonts w:cstheme="minorHAnsi"/>
        </w:rPr>
        <w:t xml:space="preserve">s 2, 3 e 3-A do artigo 9.º do </w:t>
      </w:r>
      <w:hyperlink r:id="rId7" w:tgtFrame="_blank" w:tooltip="Link para Regulamento da União Europeia" w:history="1">
        <w:r w:rsidRPr="00A91D44">
          <w:rPr>
            <w:rFonts w:cstheme="minorHAnsi"/>
          </w:rPr>
          <w:t>Regulamento (UE) n.º 1307/2013</w:t>
        </w:r>
      </w:hyperlink>
      <w:r w:rsidRPr="00A91D44">
        <w:rPr>
          <w:rFonts w:cstheme="minorHAnsi"/>
        </w:rPr>
        <w:t xml:space="preserve">, na redação dada pelo </w:t>
      </w:r>
      <w:hyperlink r:id="rId8" w:tgtFrame="_blank" w:tooltip="Link para Regulamento da União Europeia" w:history="1">
        <w:r w:rsidRPr="00A91D44">
          <w:rPr>
            <w:rFonts w:cstheme="minorHAnsi"/>
          </w:rPr>
          <w:t>Regulamento (UE) 2017/2393</w:t>
        </w:r>
      </w:hyperlink>
      <w:r w:rsidRPr="00A91D44">
        <w:rPr>
          <w:rFonts w:cstheme="minorHAnsi"/>
        </w:rPr>
        <w:t>, do Parlamento e do Conselho, de 13 de dezembro de 2017.</w:t>
      </w:r>
      <w:r>
        <w:rPr>
          <w:rStyle w:val="Refdenotaderodap"/>
          <w:rFonts w:cstheme="minorHAnsi"/>
        </w:rPr>
        <w:footnoteReference w:id="3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b) «Atividade agrícola», a produção, a criação ou o cultivo de produtos agrícolas, incluindo a colheita, a ordenha, a criação de animais, e a detenção de animais para fins de produção;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c) «Exploração agrícola», o conjunto de parcelas ou animais utilizados para o exercício de atividades agrícolas, submetidos a uma gestão única;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d) «Jovem agricultor», o agricultor que, à data da apresentação da candidatura, tenha idade compreendida entre os 18 e os 40 anos, inclusive, e se instale pela primeira vez numa exploração agrícola;</w:t>
      </w:r>
    </w:p>
    <w:p w:rsidR="00884C70" w:rsidRPr="00A10EFB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A10EFB">
        <w:rPr>
          <w:rFonts w:cstheme="minorHAnsi"/>
        </w:rPr>
        <w:t>e) «Primeira instalação», a situação em que o jovem agricultor, na qualidade de responsável pela exploração, assume formalmente a titularidade e a gestão direta da exploração agrícola, e encontra-se inscrito na autoridade tributária com atividade agrícola e no organismo pagador enquanto beneficiário;</w:t>
      </w:r>
      <w:r>
        <w:rPr>
          <w:rStyle w:val="Refdenotaderodap"/>
          <w:rFonts w:cstheme="minorHAnsi"/>
        </w:rPr>
        <w:footnoteReference w:id="4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lastRenderedPageBreak/>
        <w:t xml:space="preserve">f) «Produtos agrícolas», os produtos constantes do anexo I do Tratado de Funcionamento da União Europeia, com exceção dos produtos da pesca e da aquicultura abrangidos pelo </w:t>
      </w:r>
      <w:hyperlink r:id="rId9" w:tgtFrame="_blank" w:tooltip="Link para Regulamento da União Europeia" w:history="1">
        <w:r w:rsidRPr="00CD1009">
          <w:rPr>
            <w:rFonts w:eastAsia="Times New Roman" w:cstheme="minorHAnsi"/>
            <w:lang w:eastAsia="pt-PT"/>
          </w:rPr>
          <w:t>Regulamento (UE) n.º 1379/2013</w:t>
        </w:r>
      </w:hyperlink>
      <w:r w:rsidRPr="00CD1009">
        <w:rPr>
          <w:rFonts w:eastAsia="Times New Roman" w:cstheme="minorHAnsi"/>
          <w:lang w:eastAsia="pt-PT"/>
        </w:rPr>
        <w:t>, do Parlamento Europeu e do Conselho, de 11 de dezembro de 2013;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g) «Titular de uma exploração agrícola», o detentor, a qualquer título, do património fundiário necessário à produção de um ou vários produtos agrícolas, e gestor do aparelho produtivo;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h) «Valor produção padrão», o valor de um produto agrícola, vegetal ou animal expresso em termos de padrão da produção bruta</w:t>
      </w:r>
      <w:r>
        <w:rPr>
          <w:rFonts w:eastAsia="Times New Roman" w:cstheme="minorHAnsi"/>
          <w:lang w:eastAsia="pt-PT"/>
        </w:rPr>
        <w:t>;</w:t>
      </w:r>
    </w:p>
    <w:p w:rsidR="00884C70" w:rsidRPr="001D70A5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1D70A5">
        <w:rPr>
          <w:rFonts w:cstheme="minorHAnsi"/>
        </w:rPr>
        <w:t>i) «Instalação em regime de exclusividade», a situação em que o jovem agricultor não tem outra ocupação regular no período normal de trabalho, remunerada ou não, e obtém os seus rendimentos exclusivamente da atividade agrícola, sem prejuízo de auferir apoios públicos e outros rendimentos que não decorram de atividade profissional.</w:t>
      </w:r>
      <w:r w:rsidRPr="001D70A5">
        <w:rPr>
          <w:rStyle w:val="Refdenotaderodap"/>
          <w:rFonts w:cstheme="minorHAnsi"/>
        </w:rPr>
        <w:footnoteReference w:id="5"/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4.º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Beneficiários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Podem beneficiar do apoio previsto na presente portaria:</w:t>
      </w:r>
    </w:p>
    <w:p w:rsidR="00884C70" w:rsidRPr="00667A1C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667A1C">
        <w:rPr>
          <w:rFonts w:eastAsia="Times New Roman" w:cstheme="minorHAnsi"/>
          <w:lang w:eastAsia="pt-PT"/>
        </w:rPr>
        <w:t>a) Os jovens agricultores, na aceção da alínea d) do artigo anterior;</w:t>
      </w:r>
    </w:p>
    <w:p w:rsidR="00884C70" w:rsidRPr="00667A1C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667A1C">
        <w:rPr>
          <w:rFonts w:cstheme="minorHAnsi"/>
        </w:rPr>
        <w:t>b) As pessoas coletivas que revistam a forma de sociedade por quotas e com a atividade agrícola no objeto social, desde que os sócios gerentes que forem jovens agricultores, na aceção da alínea d) do artigo anterior, detenham a maioria do capital social e individualmente uma participação superior a 25 % no capital social.</w:t>
      </w:r>
      <w:r>
        <w:rPr>
          <w:rStyle w:val="Refdenotaderodap"/>
          <w:rFonts w:cstheme="minorHAnsi"/>
        </w:rPr>
        <w:footnoteReference w:id="6"/>
      </w:r>
    </w:p>
    <w:p w:rsidR="00884C70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5.º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Critérios de elegibilidade dos beneficiários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1 - Os candidatos aos apoios previstos na presente portaria, além do disposto no artigo anterior e sem prejuízo dos critérios de elegibilidade previstos no artigo 13.º do Decreto-Lei n.º 159/2014, de 27 de outubro, devem ainda reunir as seguintes condições: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a) Encontrar-se legalmente constituídos;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 xml:space="preserve">b) Enquadrar-se na categoria de micro ou pequenas empresas na aceção da </w:t>
      </w:r>
      <w:hyperlink r:id="rId10" w:tgtFrame="_blank" w:tooltip="Link para Recomendação da Comunidade Europeia" w:history="1">
        <w:r w:rsidRPr="00CD1009">
          <w:rPr>
            <w:rFonts w:eastAsia="Times New Roman" w:cstheme="minorHAnsi"/>
            <w:lang w:eastAsia="pt-PT"/>
          </w:rPr>
          <w:t>Recomendação 361/2003/CE</w:t>
        </w:r>
      </w:hyperlink>
      <w:r w:rsidRPr="00CD1009">
        <w:rPr>
          <w:rFonts w:eastAsia="Times New Roman" w:cstheme="minorHAnsi"/>
          <w:lang w:eastAsia="pt-PT"/>
        </w:rPr>
        <w:t>, da Comissão, de 6 de maio de 2003;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lastRenderedPageBreak/>
        <w:t>c) Adquirir a titularidade da exploração agrícola e efetuar o respetivo registo no Sistema de Identificação Parcelar, até à data de aceitação da concessão do apoio;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d) Estar inscritos na autoridade tributária com atividade agrícola, até à data de aceitação da concessão do apoio;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e) Estar inscritos no organismo pagador enquanto beneficiário;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f) Apresentar um plano empresarial com a duração de cinco anos a contar da data de aceitação da concessão do apoio, que apresente coerência técnica, económica e financeira, o qual deve contemplar os seguintes elementos: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i) Descrição da situação inicial da exploração agrícola;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ii) Demonstração do potencial de produção da exploração agrícola, expresso em valor de produção padrão que seja igual ou superior a (euro) 8.000, por jovem agricultor, e inferior ou igual a (euro) 1 500 000, por beneficiário;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iii) Indicação das etapas e metas para o desenvolvimento das atividades da exploração agrícola;</w:t>
      </w:r>
    </w:p>
    <w:p w:rsidR="00884C70" w:rsidRPr="001D70A5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1D70A5">
        <w:rPr>
          <w:rFonts w:cstheme="minorHAnsi"/>
        </w:rPr>
        <w:t>iv) Descrição da totalidade dos investimentos a realizar, com valor igual ou superior a (euro) 25 000, por jovem agricultor, e inferior ou igual a (euro) 3 000 000, por beneficiário, incluindo, se aplicável, os investimentos constantes da candidatura à ação n.º 3.2, «Investimentos na exploração agrícola», do PDR 2020;</w:t>
      </w:r>
      <w:r>
        <w:rPr>
          <w:rStyle w:val="Refdenotaderodap"/>
          <w:rFonts w:cstheme="minorHAnsi"/>
        </w:rPr>
        <w:footnoteReference w:id="7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v) Descrição detalhada das ações necessárias ao desenvolvimento das atividades da exploração agrícola, designadamente as relacionadas com a sustentabilidade ambiental e a eficiência na utilização dos recursos, o aconselhamento agrícola e a formação;</w:t>
      </w:r>
    </w:p>
    <w:p w:rsidR="00884C70" w:rsidRPr="001D70A5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color w:val="333333"/>
          <w:sz w:val="22"/>
          <w:szCs w:val="22"/>
        </w:rPr>
      </w:pPr>
      <w:r w:rsidRPr="00340D7F">
        <w:rPr>
          <w:rFonts w:asciiTheme="minorHAnsi" w:hAnsiTheme="minorHAnsi" w:cstheme="minorHAnsi"/>
          <w:sz w:val="22"/>
          <w:szCs w:val="22"/>
        </w:rPr>
        <w:t>g) Não ter celebrado contrato de financiamento ou assinado termo de aceitação em quaisquer ajudas aos investimentos no setor agrícola nem ter recebido prémio à primeira instalação antes da data de apresentação da candidatura, com exceção das candidaturas que tenham sido aprovadas nos doze meses anteriores à submissão da candidatura no âmbito do regime de apoio à reestruturação e reconversão da vinha (VITIS);</w:t>
      </w:r>
      <w:r>
        <w:rPr>
          <w:rStyle w:val="Refdenotaderodap"/>
          <w:rFonts w:asciiTheme="minorHAnsi" w:hAnsiTheme="minorHAnsi" w:cstheme="minorHAnsi"/>
          <w:color w:val="333333"/>
          <w:sz w:val="22"/>
          <w:szCs w:val="22"/>
        </w:rPr>
        <w:footnoteReference w:id="8"/>
      </w:r>
    </w:p>
    <w:p w:rsidR="00884C70" w:rsidRPr="001D70A5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color w:val="333333"/>
          <w:sz w:val="22"/>
          <w:szCs w:val="22"/>
        </w:rPr>
      </w:pPr>
      <w:r w:rsidRPr="001D70A5">
        <w:rPr>
          <w:rFonts w:asciiTheme="minorHAnsi" w:hAnsiTheme="minorHAnsi" w:cstheme="minorHAnsi"/>
          <w:color w:val="333333"/>
          <w:sz w:val="22"/>
          <w:szCs w:val="22"/>
        </w:rPr>
        <w:lastRenderedPageBreak/>
        <w:t>h) Não ter recebido quaisquer ajudas à produção ou à atividade agrícola no âmbito do pedido único, exceto nos dois anos anteriores ao ano de apresentação da candidatura.</w:t>
      </w:r>
      <w:r>
        <w:rPr>
          <w:rStyle w:val="Refdenotaderodap"/>
          <w:rFonts w:asciiTheme="minorHAnsi" w:hAnsiTheme="minorHAnsi" w:cstheme="minorHAnsi"/>
          <w:color w:val="333333"/>
          <w:sz w:val="22"/>
          <w:szCs w:val="22"/>
        </w:rPr>
        <w:footnoteReference w:id="9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2 - No caso de candidaturas apresentadas por pessoas coletivas, os sócios gerentes que sejam jovens agricultores devem reunir individualmente as condições previstas nas alíneas g) e h) do número anterior.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3 - Para efeito de cálculo do valor dos investimentos referido na subalínea iv) da alínea f) do n.º 1 são contabilizados os seguintes montantes: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a) 100 % do total do investimento elegível apurado no âmbito da ação 3.2, «investimento na exploração agrícola», da medida 3, «valorização da produção agrícola», do PDR 2020;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b) 75 % do total do investimento elegível apurado no âmbito do regime de apoio à reestruturação e reconversão das vinhas (VITIS);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c) 100 % dos investimentos materiais e imateriais, diretamente relacionados com a primeira instalação, quando sejam suportados exclusivamente pelo beneficiário;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d) Até 2.000 euros relativos a formação.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6.º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Critérios de seleção das candidaturas</w:t>
      </w:r>
    </w:p>
    <w:p w:rsidR="00884C70" w:rsidRPr="001D70A5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1D70A5">
        <w:rPr>
          <w:rFonts w:asciiTheme="minorHAnsi" w:hAnsiTheme="minorHAnsi" w:cstheme="minorHAnsi"/>
          <w:sz w:val="22"/>
          <w:szCs w:val="22"/>
        </w:rPr>
        <w:t>1 - Para efeitos de seleção das candidaturas, são considerados, designadamente, os seguintes critérios:</w:t>
      </w:r>
    </w:p>
    <w:p w:rsidR="00884C70" w:rsidRPr="001D70A5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1D70A5">
        <w:rPr>
          <w:rFonts w:asciiTheme="minorHAnsi" w:hAnsiTheme="minorHAnsi" w:cstheme="minorHAnsi"/>
          <w:sz w:val="22"/>
          <w:szCs w:val="22"/>
        </w:rPr>
        <w:t>a) Aquisição da titularidade da exploração agrícola ou de qualquer das suas parcelas através do Banco Nacional de Terras ou outras iniciativas públicas de facilitação do acesso à terra;</w:t>
      </w:r>
    </w:p>
    <w:p w:rsidR="00884C70" w:rsidRPr="001D70A5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1D70A5">
        <w:rPr>
          <w:rFonts w:asciiTheme="minorHAnsi" w:hAnsiTheme="minorHAnsi" w:cstheme="minorHAnsi"/>
          <w:sz w:val="22"/>
          <w:szCs w:val="22"/>
        </w:rPr>
        <w:t>b) Localização da exploração agrícola;</w:t>
      </w:r>
    </w:p>
    <w:p w:rsidR="00884C70" w:rsidRPr="001D70A5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1D70A5">
        <w:rPr>
          <w:rFonts w:asciiTheme="minorHAnsi" w:hAnsiTheme="minorHAnsi" w:cstheme="minorHAnsi"/>
          <w:sz w:val="22"/>
          <w:szCs w:val="22"/>
        </w:rPr>
        <w:t>c) Nível de qualificação e formação agrícola do candidato;</w:t>
      </w:r>
    </w:p>
    <w:p w:rsidR="00884C70" w:rsidRPr="001D70A5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1D70A5">
        <w:rPr>
          <w:rFonts w:asciiTheme="minorHAnsi" w:hAnsiTheme="minorHAnsi" w:cstheme="minorHAnsi"/>
          <w:sz w:val="22"/>
          <w:szCs w:val="22"/>
        </w:rPr>
        <w:t>d) Forma e regime de instalação do candidato;</w:t>
      </w:r>
    </w:p>
    <w:p w:rsidR="00884C70" w:rsidRPr="001D70A5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1D70A5">
        <w:rPr>
          <w:rFonts w:asciiTheme="minorHAnsi" w:hAnsiTheme="minorHAnsi" w:cstheme="minorHAnsi"/>
          <w:sz w:val="22"/>
          <w:szCs w:val="22"/>
        </w:rPr>
        <w:t>e) Participação como associado em organização ou agrupamento de produtores reconhecido, em cooperativa agrícola ou noutra entidade de natureza associativa agrícola que assegure a comercialização da produção dos seus associados.</w:t>
      </w:r>
    </w:p>
    <w:p w:rsidR="00884C70" w:rsidRPr="001D70A5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1D70A5">
        <w:rPr>
          <w:rFonts w:asciiTheme="minorHAnsi" w:hAnsiTheme="minorHAnsi" w:cstheme="minorHAnsi"/>
          <w:sz w:val="22"/>
          <w:szCs w:val="22"/>
        </w:rPr>
        <w:t>2 - A hierarquização dos critérios de seleção, bem como os respetivos fatores, fórmulas, ponderação e critérios de desempate, são definidos pela autoridade de gestão, no respetivo anúncio do período de apresentação de candidaturas, e divulgados no portal do PDR 2020, em www.pdr-2020.pt.</w:t>
      </w:r>
    </w:p>
    <w:p w:rsidR="00884C70" w:rsidRPr="001D70A5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1D70A5">
        <w:rPr>
          <w:rFonts w:asciiTheme="minorHAnsi" w:hAnsiTheme="minorHAnsi" w:cstheme="minorHAnsi"/>
          <w:sz w:val="22"/>
          <w:szCs w:val="22"/>
        </w:rPr>
        <w:lastRenderedPageBreak/>
        <w:t>3 - No caso de candidatura ao apoio previsto na presente portaria e à ação 3.2.1 - «Investimentos na exploração agrícola», a pontuação a atribuir à candidatura é a média resultante da pontuação obtida em cada um dos regimes de apoio.</w:t>
      </w:r>
      <w:r>
        <w:rPr>
          <w:rStyle w:val="Refdenotaderodap"/>
          <w:rFonts w:asciiTheme="minorHAnsi" w:hAnsiTheme="minorHAnsi" w:cstheme="minorHAnsi"/>
          <w:sz w:val="22"/>
          <w:szCs w:val="22"/>
        </w:rPr>
        <w:footnoteReference w:id="10"/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7.º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Forma e montantes do apoio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1 - O apoio previsto na presente portaria consiste num prémio à instalação, sob a forma de subvenção não reembolsável.</w:t>
      </w:r>
    </w:p>
    <w:p w:rsidR="00884C70" w:rsidRPr="00430E8A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667A1C">
        <w:rPr>
          <w:rFonts w:asciiTheme="minorHAnsi" w:hAnsiTheme="minorHAnsi" w:cstheme="minorHAnsi"/>
          <w:sz w:val="22"/>
          <w:szCs w:val="22"/>
        </w:rPr>
        <w:t>2 - O montante do prémio à instalação é de (euro) 20 000 por jovem agricultor, acrescido de (euro) 5 000 no caso de o investimento na exploração ser igual ou superior a (euro) 80 000, por jovem agricultor, e de (euro) 5 000 no caso de o jovem agricultor se instalar em regime de exclusividade.</w:t>
      </w:r>
      <w:r>
        <w:rPr>
          <w:rStyle w:val="Refdenotaderodap"/>
          <w:rFonts w:asciiTheme="minorHAnsi" w:hAnsiTheme="minorHAnsi" w:cstheme="minorHAnsi"/>
          <w:sz w:val="22"/>
          <w:szCs w:val="22"/>
        </w:rPr>
        <w:footnoteReference w:id="11"/>
      </w:r>
    </w:p>
    <w:p w:rsidR="00884C70" w:rsidRPr="00430E8A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430E8A">
        <w:rPr>
          <w:rFonts w:asciiTheme="minorHAnsi" w:hAnsiTheme="minorHAnsi" w:cstheme="minorHAnsi"/>
          <w:sz w:val="22"/>
          <w:szCs w:val="22"/>
        </w:rPr>
        <w:t xml:space="preserve">3 - </w:t>
      </w:r>
      <w:r w:rsidRPr="00430E8A">
        <w:rPr>
          <w:rFonts w:asciiTheme="minorHAnsi" w:hAnsiTheme="minorHAnsi" w:cstheme="minorHAnsi"/>
          <w:i/>
          <w:sz w:val="22"/>
          <w:szCs w:val="22"/>
        </w:rPr>
        <w:t>(Revogado)</w:t>
      </w:r>
      <w:r>
        <w:rPr>
          <w:rStyle w:val="Refdenotaderodap"/>
          <w:rFonts w:asciiTheme="minorHAnsi" w:hAnsiTheme="minorHAnsi" w:cstheme="minorHAnsi"/>
          <w:i/>
          <w:sz w:val="22"/>
          <w:szCs w:val="22"/>
        </w:rPr>
        <w:footnoteReference w:id="12"/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8.º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Obrigações dos beneficiários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1 - Os beneficiários dos apoios previstos na presente portaria, sem prejuízo das obrigações enunciadas no artigo 24.º do Decreto-Lei n.º 159/2014, de 27 de outubro, são obrigados a: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lastRenderedPageBreak/>
        <w:t>a) Manter as condições previstas na alínea b) do artigo 4.º durante o período de duração do plano empresarial, nomeadamente as relativas à detenção do capital social;</w:t>
      </w:r>
    </w:p>
    <w:p w:rsidR="00884C70" w:rsidRPr="00430E8A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430E8A">
        <w:rPr>
          <w:rFonts w:cstheme="minorHAnsi"/>
        </w:rPr>
        <w:t>b) Cumprir o plano empresarial referido no n.º 1 do artigo 5.º;</w:t>
      </w:r>
      <w:r>
        <w:rPr>
          <w:rStyle w:val="Refdenotaderodap"/>
          <w:rFonts w:cstheme="minorHAnsi"/>
        </w:rPr>
        <w:footnoteReference w:id="13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c) Exercer a atividade agrícola na exploração pelo período mínimo de cinco anos a contar da data de aceitação da concessão do apoio;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 xml:space="preserve">d) </w:t>
      </w:r>
      <w:r w:rsidRPr="00A91D44">
        <w:rPr>
          <w:rFonts w:eastAsia="Times New Roman" w:cstheme="minorHAnsi"/>
          <w:i/>
          <w:lang w:eastAsia="pt-PT"/>
        </w:rPr>
        <w:t>(Revogado)</w:t>
      </w:r>
      <w:r>
        <w:rPr>
          <w:rStyle w:val="Refdenotaderodap"/>
          <w:rFonts w:eastAsia="Times New Roman" w:cstheme="minorHAnsi"/>
          <w:i/>
          <w:lang w:eastAsia="pt-PT"/>
        </w:rPr>
        <w:footnoteReference w:id="14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e) Possuir formação agrícola adequada ou, caso não a possua, adquirir formação de acordo com o previsto no n.º 3;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f) Concluir a execução dos investimentos previstos no plano empresarial no prazo máximo de 24 meses a contar da data de aceitação da concessão do apoio, podendo, contudo, a autoridade de gestão autorizar a sua prorrogação em casos excecion</w:t>
      </w:r>
      <w:r>
        <w:rPr>
          <w:rFonts w:eastAsia="Times New Roman" w:cstheme="minorHAnsi"/>
          <w:lang w:eastAsia="pt-PT"/>
        </w:rPr>
        <w:t>ais e devidamente fundamentados;</w:t>
      </w:r>
    </w:p>
    <w:p w:rsidR="00884C70" w:rsidRPr="00430E8A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430E8A">
        <w:rPr>
          <w:rFonts w:asciiTheme="minorHAnsi" w:hAnsiTheme="minorHAnsi" w:cstheme="minorHAnsi"/>
          <w:sz w:val="22"/>
          <w:szCs w:val="22"/>
        </w:rPr>
        <w:t>g) Permitir o acesso à exploração agrícola e aos locais onde se encontrem os elementos e documentos necessários ao acompanhamento e controlo do plano empresarial;</w:t>
      </w:r>
      <w:r>
        <w:rPr>
          <w:rStyle w:val="Refdenotaderodap"/>
          <w:rFonts w:asciiTheme="minorHAnsi" w:hAnsiTheme="minorHAnsi" w:cstheme="minorHAnsi"/>
          <w:sz w:val="22"/>
          <w:szCs w:val="22"/>
        </w:rPr>
        <w:footnoteReference w:id="15"/>
      </w:r>
    </w:p>
    <w:p w:rsidR="00884C70" w:rsidRPr="00430E8A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430E8A">
        <w:rPr>
          <w:rFonts w:asciiTheme="minorHAnsi" w:hAnsiTheme="minorHAnsi" w:cstheme="minorHAnsi"/>
          <w:sz w:val="22"/>
          <w:szCs w:val="22"/>
        </w:rPr>
        <w:t>h) Conservar os documentos relativos à execução do plano empresarial sob a forma de documentos originais ou de cópias autenticadas, em suporte digital, quando legalmente admissível, ou em papel, durante o período da sua duração;</w:t>
      </w:r>
      <w:r>
        <w:rPr>
          <w:rStyle w:val="Refdenotaderodap"/>
          <w:rFonts w:asciiTheme="minorHAnsi" w:hAnsiTheme="minorHAnsi" w:cstheme="minorHAnsi"/>
          <w:sz w:val="22"/>
          <w:szCs w:val="22"/>
        </w:rPr>
        <w:footnoteReference w:id="16"/>
      </w:r>
    </w:p>
    <w:p w:rsidR="00884C70" w:rsidRPr="00430E8A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430E8A">
        <w:rPr>
          <w:rFonts w:asciiTheme="minorHAnsi" w:hAnsiTheme="minorHAnsi" w:cstheme="minorHAnsi"/>
          <w:sz w:val="22"/>
          <w:szCs w:val="22"/>
        </w:rPr>
        <w:t>i) Manter as condições legais necessárias ao exercício da atividade;</w:t>
      </w:r>
      <w:r>
        <w:rPr>
          <w:rStyle w:val="Refdenotaderodap"/>
          <w:rFonts w:asciiTheme="minorHAnsi" w:hAnsiTheme="minorHAnsi" w:cstheme="minorHAnsi"/>
          <w:sz w:val="22"/>
          <w:szCs w:val="22"/>
        </w:rPr>
        <w:footnoteReference w:id="17"/>
      </w:r>
    </w:p>
    <w:p w:rsidR="00884C70" w:rsidRPr="00430E8A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430E8A">
        <w:rPr>
          <w:rFonts w:asciiTheme="minorHAnsi" w:hAnsiTheme="minorHAnsi" w:cstheme="minorHAnsi"/>
          <w:sz w:val="22"/>
          <w:szCs w:val="22"/>
        </w:rPr>
        <w:t>j) Dispor de um processo relativo ao plano empresarial, preferencialmente em suporte digital, com toda a documentação relacionada com o mesmo devidamente organizada.</w:t>
      </w:r>
      <w:r>
        <w:rPr>
          <w:rStyle w:val="Refdenotaderodap"/>
          <w:rFonts w:asciiTheme="minorHAnsi" w:hAnsiTheme="minorHAnsi" w:cstheme="minorHAnsi"/>
          <w:sz w:val="22"/>
          <w:szCs w:val="22"/>
        </w:rPr>
        <w:footnoteReference w:id="18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2 - Para efeitos do disposto na alínea e) do n.º 1, considera-se formação agrícola adequada:</w:t>
      </w:r>
    </w:p>
    <w:p w:rsidR="00884C70" w:rsidRPr="00ED0D35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ED0D35">
        <w:rPr>
          <w:rFonts w:cstheme="minorHAnsi"/>
        </w:rPr>
        <w:t>a) Qualificação de nível 2, 4 ou 5, nas áreas de Educação e Formação 621 - Produção Agrícola e Animal, 622 - Floricultura e Jardinagem e 623 - Silvicultura e caça ou uma qualificação de nível 6, 7 ou 8, relativas ao ensino superior, nas áreas agrícola, florestal ou animal;</w:t>
      </w:r>
      <w:r>
        <w:rPr>
          <w:rStyle w:val="Refdenotaderodap"/>
          <w:rFonts w:cstheme="minorHAnsi"/>
        </w:rPr>
        <w:footnoteReference w:id="19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b) Curso de empresário agrícola homologado pelo Ministério da Agricultura e do Mar;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c) Formação agrícola de outras tipologias financiadas no âmbito do desenvolvimento rural.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3 - A formação prevista na alínea e) do n.º 1 é, sucessivamente, a seguinte:</w:t>
      </w:r>
    </w:p>
    <w:p w:rsidR="00884C70" w:rsidRPr="00A91D44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615251">
        <w:rPr>
          <w:rFonts w:cstheme="minorHAnsi"/>
        </w:rPr>
        <w:lastRenderedPageBreak/>
        <w:t xml:space="preserve">a) Formação com base nas unidades de formação de curta duração do referencial de formação 621312, «Técnico/a de Produção Agropecuária», de nível 4, do Catálogo Nacional de </w:t>
      </w:r>
      <w:r w:rsidRPr="00A91D44">
        <w:rPr>
          <w:rFonts w:cstheme="minorHAnsi"/>
        </w:rPr>
        <w:t>Qualificações, constituída pelo código 7580, de 50 horas de duração;</w:t>
      </w:r>
      <w:r w:rsidRPr="00A91D44">
        <w:rPr>
          <w:rStyle w:val="Refdenotaderodap"/>
          <w:rFonts w:cstheme="minorHAnsi"/>
        </w:rPr>
        <w:footnoteReference w:id="20"/>
      </w:r>
    </w:p>
    <w:p w:rsidR="00884C70" w:rsidRPr="00A91D44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A91D44">
        <w:rPr>
          <w:rFonts w:asciiTheme="minorHAnsi" w:hAnsiTheme="minorHAnsi" w:cstheme="minorHAnsi"/>
          <w:sz w:val="22"/>
          <w:szCs w:val="22"/>
        </w:rPr>
        <w:t>b) Formação complementar nomeadamente na tipologia «formação-ação» ou formação modular do Catálogo Nacional de Qualificações, com uma duração mínima de 150 horas numa ou em ambas as áreas abaixo indicadas:</w:t>
      </w:r>
    </w:p>
    <w:p w:rsidR="00884C70" w:rsidRPr="00A91D44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A91D44">
        <w:rPr>
          <w:rFonts w:asciiTheme="minorHAnsi" w:hAnsiTheme="minorHAnsi" w:cstheme="minorHAnsi"/>
          <w:sz w:val="22"/>
          <w:szCs w:val="22"/>
        </w:rPr>
        <w:t>i) Área da produção agrícola ou animal diretamente relacionada com o setor do investimento;</w:t>
      </w:r>
    </w:p>
    <w:p w:rsidR="00884C70" w:rsidRPr="00ED0D35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340D7F">
        <w:rPr>
          <w:rFonts w:asciiTheme="minorHAnsi" w:hAnsiTheme="minorHAnsi" w:cstheme="minorHAnsi"/>
          <w:sz w:val="22"/>
          <w:szCs w:val="22"/>
        </w:rPr>
        <w:t>ii) Área de gestão.</w:t>
      </w:r>
      <w:r>
        <w:rPr>
          <w:rStyle w:val="Refdenotaderodap"/>
          <w:rFonts w:asciiTheme="minorHAnsi" w:hAnsiTheme="minorHAnsi" w:cstheme="minorHAnsi"/>
          <w:sz w:val="22"/>
          <w:szCs w:val="22"/>
        </w:rPr>
        <w:footnoteReference w:id="21"/>
      </w:r>
    </w:p>
    <w:p w:rsidR="00884C70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="Roboto" w:hAnsi="Roboto" w:cs="Arial"/>
          <w:color w:val="333333"/>
          <w:sz w:val="15"/>
          <w:szCs w:val="15"/>
        </w:rPr>
      </w:pPr>
      <w:r w:rsidRPr="00340D7F">
        <w:rPr>
          <w:rFonts w:asciiTheme="minorHAnsi" w:hAnsiTheme="minorHAnsi" w:cstheme="minorHAnsi"/>
          <w:sz w:val="22"/>
          <w:szCs w:val="22"/>
        </w:rPr>
        <w:t>c) Em alternativa ao previsto na alínea anterior, formação complementar por recurso aos serviços de aconselhamento agrícola nos termos do sistema de aconselhamento agrícola e florestal criado pela Portaria n.º 151/2016, de 26 de maio.</w:t>
      </w:r>
      <w:r w:rsidRPr="00340D7F">
        <w:rPr>
          <w:rStyle w:val="Refdenotaderodap"/>
          <w:rFonts w:asciiTheme="minorHAnsi" w:hAnsiTheme="minorHAnsi" w:cstheme="minorHAnsi"/>
          <w:color w:val="333333"/>
          <w:sz w:val="22"/>
          <w:szCs w:val="22"/>
        </w:rPr>
        <w:footnoteReference w:id="22"/>
      </w:r>
    </w:p>
    <w:p w:rsidR="00884C70" w:rsidRPr="00615251" w:rsidRDefault="00884C70" w:rsidP="00884C70">
      <w:pPr>
        <w:pStyle w:val="NormalWeb"/>
        <w:shd w:val="clear" w:color="auto" w:fill="FFFFFF"/>
        <w:spacing w:after="0" w:line="360" w:lineRule="auto"/>
        <w:ind w:left="57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615251">
        <w:rPr>
          <w:rFonts w:asciiTheme="minorHAnsi" w:hAnsiTheme="minorHAnsi" w:cstheme="minorHAnsi"/>
          <w:sz w:val="22"/>
          <w:szCs w:val="22"/>
        </w:rPr>
        <w:t>4 - A realização da formação prevista no número anterior é verificada em sede de último pedido de pagamento.</w:t>
      </w:r>
      <w:r>
        <w:rPr>
          <w:rStyle w:val="Refdenotaderodap"/>
          <w:rFonts w:asciiTheme="minorHAnsi" w:hAnsiTheme="minorHAnsi" w:cstheme="minorHAnsi"/>
          <w:sz w:val="22"/>
          <w:szCs w:val="22"/>
        </w:rPr>
        <w:footnoteReference w:id="23"/>
      </w:r>
    </w:p>
    <w:p w:rsidR="00884C70" w:rsidRPr="00ED0D35" w:rsidRDefault="00884C70" w:rsidP="00884C70">
      <w:pPr>
        <w:pStyle w:val="NormalWeb"/>
        <w:shd w:val="clear" w:color="auto" w:fill="FFFFFF"/>
        <w:spacing w:after="0" w:line="360" w:lineRule="auto"/>
        <w:ind w:left="57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Pr="00ED0D35">
        <w:rPr>
          <w:rFonts w:asciiTheme="minorHAnsi" w:hAnsiTheme="minorHAnsi" w:cstheme="minorHAnsi"/>
          <w:sz w:val="22"/>
          <w:szCs w:val="22"/>
        </w:rPr>
        <w:t xml:space="preserve"> - Para efeitos de atribuição da majoração relativa à instalação em regime de exclusividade, os beneficiários devem assegurar o cumprimento desta condição no prazo de doze meses a contar da data de aceitação da concessão do apoio e manter a respetiva condição durante todo o período de duração do plano empresarial.</w:t>
      </w:r>
      <w:r>
        <w:rPr>
          <w:rStyle w:val="Refdenotaderodap"/>
          <w:rFonts w:asciiTheme="minorHAnsi" w:hAnsiTheme="minorHAnsi" w:cstheme="minorHAnsi"/>
          <w:sz w:val="22"/>
          <w:szCs w:val="22"/>
        </w:rPr>
        <w:footnoteReference w:id="24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lastRenderedPageBreak/>
        <w:t>CAPÍTULO II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Procedimento</w:t>
      </w:r>
    </w:p>
    <w:p w:rsidR="00884C70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9.º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Apresentação das candidaturas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1 - São estabelecidos períodos contínuos para apresentação de candidaturas de acordo com o plano de abertura de candidaturas previsto na alínea m) do n.º 1 do artigo 31.º do Decreto-Lei n.º 137/2014, de 12 de setembro, sendo o mesmo divulgado no portal do Portugal 2020, em www.portugal2020.pt, e no portal do PDR 2020, em www.pdr-2020.pt, e publicitado em dois órgãos de comunicação social.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2 - A apresentação das candidaturas efetua-se através de submissão de formulário eletrónico disponível no portal do Portugal 2020, em www.portugal2020.pt, ou do PDR 2020, em www.pdr-2020.pt, e estão sujeitos a confirmação por via eletrónica, a efetuar pela autoridade de gestão, considerando-se a data de submissão como a data de apresentação da candidatura.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10.º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Anúncios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1 - Os anúncios dos períodos de apresentação das candidaturas são aprovados pelo gestor, após audição da comissão de gestão, e indicam, nomeadamente, o seguinte: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a) Os objetivos e as prioridades visadas;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b) A área geográfica elegível;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c) A dotação orçamental a atribuir;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d) Os critérios de seleção e respetivos critérios de desempate, em função dos objetivos e prioridades fixados, bem como a pontuação mínima para seleção.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2 - Os anúncios dos períodos de apresentação das candidaturas são divulgados no portal do Portugal 2020, em www.portugal2020.pt, e no portal do PDR 2020, em www.pdr-2020.pt, e publicitado em dois órgãos de comunicação social.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11.º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Análise e decisão das candidaturas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1 - A autoridade de gestão ou as Direções Regionais de Agricultura e Pescas (DRAP) analisam e emitem parecer sobre as candidaturas, do qual consta a apreciação do cumprimento dos critérios de elegibilidade do jovem agricultor ou do candidato, bem como a aplicação dos critérios referidos no artigo 6.º, o apuramento do montante do custo total elegível e o nível de apoio previsional.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lastRenderedPageBreak/>
        <w:t>2 - Sem prejuízo do disposto no n.º 3 do artigo 11.º do Decreto-Lei n.º 159/2014, de 27 de outubro, são solicitados aos candidatos, quando se justifique, os documentos exigidos no formulário de candidatura ou elementos complementares, constituindo a falta de entrega dos mesmos ou a ausência de resposta fundamento para a não aprovação da candidatura.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3 - O parecer referido no n.º 1 é emitido num prazo máximo de 45 dias úteis a contar do termo de apresentação das candidaturas e, quando emitido pelas DRAP, é remetido à autoridade de gestão.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4 - O secretariado técnico aplica os critérios de seleção, em função do princípio da coesão territorial e da dotação orçamental referida no respetivo anúncio e submete à decisão do gestor a aprovação das candidaturas.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5 - Antes de ser adotada a decisão final os candidatos são ouvidos, nos termos do Código de Procedimento Administrativo, designadamente quanto à eventual intenção de indeferimento total ou parcial e respetivos fundamentos.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6 - As candidaturas são objeto de decisão pelo gestor no prazo de sessenta dias úteis contados a partir da data limite para a respetiva apresentação, após audição da comissão de gestão, sendo a mesma comunicada aos candidatos pela autoridade de gestão, no prazo máximo de cinco dias úteis a contar da data da sua emissão.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12.º</w:t>
      </w:r>
    </w:p>
    <w:p w:rsidR="00884C70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Transição de candidaturas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A10EFB">
        <w:rPr>
          <w:rFonts w:eastAsia="Times New Roman" w:cstheme="minorHAnsi"/>
          <w:i/>
          <w:lang w:eastAsia="pt-PT"/>
        </w:rPr>
        <w:t>(Revogado)</w:t>
      </w:r>
      <w:r>
        <w:rPr>
          <w:rStyle w:val="Refdenotaderodap"/>
          <w:rFonts w:eastAsia="Times New Roman" w:cstheme="minorHAnsi"/>
          <w:lang w:eastAsia="pt-PT"/>
        </w:rPr>
        <w:footnoteReference w:id="25"/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13.º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Termo de aceitação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lastRenderedPageBreak/>
        <w:t>1 - A aceitação do apoio é efetuada mediante submissão eletrónica e autenticação de termo de aceitação nos termos do artigo 11.º do Decreto-Lei n.º 159/2014, de 27 de outubro, de acordo com os procedimentos aprovados pelo Instituto de Financiamento da Agricultura e Pescas, I. P. (IFAP, I. P.), e divulgados no respetivo portal, em www.ifap.pt.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2 - O beneficiário dispõe de 30 dias úteis para a submissão eletrónica do termo de aceitação, sob pena de caducidade da decisão de aprovação da candidatura, nos termos do disposto no n.º 2 do artigo 21.º do Decreto-Lei n.º 159/2014, de 27 de outubro, salvo motivo justificado não imputável ao beneficiário e aceite pela autoridade de gestão.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14.º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Apresentação e análise dos pedidos de pagamento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1 - A apresentação dos pedidos de pagamento efetua-se através de submissão de formulário eletrónico disponível no portal do Portugal 2020, em www.portugal2020.pt, e no portal do IFAP, I. P., em www.ifap.pt.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2 - O último pedido de pagamento deve ser acompanhado dos comprovativos das despesas de investimento efetivamente realizadas e pagas, devendo os respetivos comprovativos e demais documentos que o integram ser submetidos eletronicamente de acordo com os procedimentos aprovados pela IFAP, I. P., e divulgados no respetivo portal em www.ifap.pt.</w:t>
      </w:r>
    </w:p>
    <w:p w:rsidR="00884C70" w:rsidRPr="00615251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615251">
        <w:rPr>
          <w:rFonts w:cstheme="minorHAnsi"/>
        </w:rPr>
        <w:t>3 - O último pedido de pagamento deve ser acompanhado dos comprovativos das despesas de investimento efetivamente realizadas e pagas, bem como da realização da formação prevista no n.º 3 do artigo 8.º, devendo os respetivos comprovativos e demais documentos que o integram ser submetidos eletronicamente de acordo com os procedimentos aprovados pela IFAP, I. P., e divulgados no respetivo portal em www.ifap.pt.</w:t>
      </w:r>
      <w:r w:rsidRPr="00615251">
        <w:rPr>
          <w:rStyle w:val="Refdenotaderodap"/>
          <w:rFonts w:cstheme="minorHAnsi"/>
        </w:rPr>
        <w:footnoteReference w:id="26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615251">
        <w:rPr>
          <w:rFonts w:eastAsia="Times New Roman" w:cstheme="minorHAnsi"/>
          <w:lang w:eastAsia="pt-PT"/>
        </w:rPr>
        <w:t xml:space="preserve">4 - Para efeitos do disposto no número anterior, podem ser solicitados aos beneficiários </w:t>
      </w:r>
      <w:r w:rsidRPr="00CD1009">
        <w:rPr>
          <w:rFonts w:eastAsia="Times New Roman" w:cstheme="minorHAnsi"/>
          <w:lang w:eastAsia="pt-PT"/>
        </w:rPr>
        <w:t>elementos complementares, constituindo a falta de entrega dos mesmos ou a ausência de resposta fundamento para a não aprovação do pedido.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15.º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Pagamento</w:t>
      </w:r>
    </w:p>
    <w:p w:rsidR="00884C70" w:rsidRPr="00851FFC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851FFC">
        <w:rPr>
          <w:rFonts w:asciiTheme="minorHAnsi" w:hAnsiTheme="minorHAnsi" w:cstheme="minorHAnsi"/>
          <w:sz w:val="22"/>
          <w:szCs w:val="22"/>
        </w:rPr>
        <w:t>1 - O pagamento do prémio à instalação é efetuado da seguinte forma:</w:t>
      </w:r>
    </w:p>
    <w:p w:rsidR="00884C70" w:rsidRPr="00851FFC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851FFC">
        <w:rPr>
          <w:rFonts w:asciiTheme="minorHAnsi" w:hAnsiTheme="minorHAnsi" w:cstheme="minorHAnsi"/>
          <w:sz w:val="22"/>
          <w:szCs w:val="22"/>
        </w:rPr>
        <w:t>a) 80 % do valor total do prémio, após a data de aceitação da concessão do apoio;</w:t>
      </w:r>
    </w:p>
    <w:p w:rsidR="00884C70" w:rsidRPr="00851FFC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851FFC">
        <w:rPr>
          <w:rFonts w:asciiTheme="minorHAnsi" w:hAnsiTheme="minorHAnsi" w:cstheme="minorHAnsi"/>
          <w:sz w:val="22"/>
          <w:szCs w:val="22"/>
        </w:rPr>
        <w:lastRenderedPageBreak/>
        <w:t>b) 20 % do valor total do prémio, após a verificação da realização dos investimentos e da boa execução do plano empresarial.</w:t>
      </w:r>
      <w:r>
        <w:rPr>
          <w:rStyle w:val="Refdenotaderodap"/>
          <w:rFonts w:asciiTheme="minorHAnsi" w:hAnsiTheme="minorHAnsi" w:cstheme="minorHAnsi"/>
          <w:sz w:val="22"/>
          <w:szCs w:val="22"/>
        </w:rPr>
        <w:footnoteReference w:id="27"/>
      </w:r>
    </w:p>
    <w:p w:rsidR="00884C70" w:rsidRPr="00851FFC" w:rsidRDefault="00884C70" w:rsidP="00884C70">
      <w:pPr>
        <w:pStyle w:val="NormalWeb"/>
        <w:shd w:val="clear" w:color="auto" w:fill="FFFFFF"/>
        <w:spacing w:after="0"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  <w:r w:rsidRPr="00851FFC">
        <w:rPr>
          <w:rFonts w:asciiTheme="minorHAnsi" w:hAnsiTheme="minorHAnsi" w:cstheme="minorHAnsi"/>
          <w:sz w:val="22"/>
          <w:szCs w:val="22"/>
        </w:rPr>
        <w:t xml:space="preserve">2 - </w:t>
      </w:r>
      <w:r w:rsidRPr="00851FFC">
        <w:rPr>
          <w:rFonts w:asciiTheme="minorHAnsi" w:hAnsiTheme="minorHAnsi" w:cstheme="minorHAnsi"/>
          <w:i/>
          <w:sz w:val="22"/>
          <w:szCs w:val="22"/>
        </w:rPr>
        <w:t>(Revogado)</w:t>
      </w:r>
      <w:r>
        <w:rPr>
          <w:rStyle w:val="Refdenotaderodap"/>
          <w:rFonts w:asciiTheme="minorHAnsi" w:hAnsiTheme="minorHAnsi" w:cstheme="minorHAnsi"/>
          <w:i/>
          <w:sz w:val="22"/>
          <w:szCs w:val="22"/>
        </w:rPr>
        <w:footnoteReference w:id="28"/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3 - Os pagamentos são efetuados pelo IFAP, I. P., por transferência bancária, de acordo com o calendário definido antes do início de cada ano civil e divulgado no respetivo portal, em www.ifap.pt.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16.º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Controlo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 xml:space="preserve">A candidatura, os pedidos de pagamento, bem como o cumprimento do plano empresarial está sujeito a ações de controlo administrativo e in loco a partir da data de aceitação da concessão do apoio, nos termos previstos no </w:t>
      </w:r>
      <w:hyperlink r:id="rId11" w:tgtFrame="_blank" w:tooltip="Link para Regulamento da União Europeia" w:history="1">
        <w:r w:rsidRPr="00CD1009">
          <w:rPr>
            <w:rFonts w:eastAsia="Times New Roman" w:cstheme="minorHAnsi"/>
            <w:lang w:eastAsia="pt-PT"/>
          </w:rPr>
          <w:t>Regulamento (UE) n.º 1306/2013</w:t>
        </w:r>
      </w:hyperlink>
      <w:r w:rsidRPr="00CD1009">
        <w:rPr>
          <w:rFonts w:eastAsia="Times New Roman" w:cstheme="minorHAnsi"/>
          <w:lang w:eastAsia="pt-PT"/>
        </w:rPr>
        <w:t xml:space="preserve">, do Parlamento Europeu e do Conselho, de 17 de dezembro de 2013, no </w:t>
      </w:r>
      <w:hyperlink r:id="rId12" w:tgtFrame="_blank" w:tooltip="Link para Regulamento da União Europeia" w:history="1">
        <w:r w:rsidRPr="00CD1009">
          <w:rPr>
            <w:rFonts w:eastAsia="Times New Roman" w:cstheme="minorHAnsi"/>
            <w:lang w:eastAsia="pt-PT"/>
          </w:rPr>
          <w:t>Regulamento Delegado (UE) n.º 640/2014</w:t>
        </w:r>
      </w:hyperlink>
      <w:r w:rsidRPr="00CD1009">
        <w:rPr>
          <w:rFonts w:eastAsia="Times New Roman" w:cstheme="minorHAnsi"/>
          <w:lang w:eastAsia="pt-PT"/>
        </w:rPr>
        <w:t xml:space="preserve">, da Comissão, de 11 de março de 2014, no </w:t>
      </w:r>
      <w:hyperlink r:id="rId13" w:tgtFrame="_blank" w:tooltip="Link para Regulamento da União Europeia" w:history="1">
        <w:r w:rsidRPr="00CD1009">
          <w:rPr>
            <w:rFonts w:eastAsia="Times New Roman" w:cstheme="minorHAnsi"/>
            <w:lang w:eastAsia="pt-PT"/>
          </w:rPr>
          <w:t>Regulamento de Execução (UE) n.º 809/2014</w:t>
        </w:r>
      </w:hyperlink>
      <w:r w:rsidRPr="00CD1009">
        <w:rPr>
          <w:rFonts w:eastAsia="Times New Roman" w:cstheme="minorHAnsi"/>
          <w:lang w:eastAsia="pt-PT"/>
        </w:rPr>
        <w:t>, da Comissão, de 17 de julho de 2014, e demais legislação aplicável.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17.º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Reduções e exclusões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 xml:space="preserve">1 - O prémio à instalação está sujeito às reduções e exclusões previstas no </w:t>
      </w:r>
      <w:hyperlink r:id="rId14" w:tgtFrame="_blank" w:tooltip="Link para Regulamento da União Europeia" w:history="1">
        <w:r w:rsidRPr="00CD1009">
          <w:rPr>
            <w:rFonts w:eastAsia="Times New Roman" w:cstheme="minorHAnsi"/>
            <w:lang w:eastAsia="pt-PT"/>
          </w:rPr>
          <w:t>Regulamento (UE) n.º 1306/2013</w:t>
        </w:r>
      </w:hyperlink>
      <w:r w:rsidRPr="00CD1009">
        <w:rPr>
          <w:rFonts w:eastAsia="Times New Roman" w:cstheme="minorHAnsi"/>
          <w:lang w:eastAsia="pt-PT"/>
        </w:rPr>
        <w:t xml:space="preserve">, do Parlamento Europeu e do Conselho, de 17 de dezembro, no </w:t>
      </w:r>
      <w:hyperlink r:id="rId15" w:tgtFrame="_blank" w:tooltip="Link para Regulamento da União Europeia" w:history="1">
        <w:r w:rsidRPr="00CD1009">
          <w:rPr>
            <w:rFonts w:eastAsia="Times New Roman" w:cstheme="minorHAnsi"/>
            <w:lang w:eastAsia="pt-PT"/>
          </w:rPr>
          <w:t>Regulamento Delegado (UE) n.º 640/2014</w:t>
        </w:r>
      </w:hyperlink>
      <w:r w:rsidRPr="00CD1009">
        <w:rPr>
          <w:rFonts w:eastAsia="Times New Roman" w:cstheme="minorHAnsi"/>
          <w:lang w:eastAsia="pt-PT"/>
        </w:rPr>
        <w:t xml:space="preserve">, da Comissão, de 11 de março, no </w:t>
      </w:r>
      <w:hyperlink r:id="rId16" w:tgtFrame="_blank" w:tooltip="Link para Regulamento da União Europeia" w:history="1">
        <w:r w:rsidRPr="00CD1009">
          <w:rPr>
            <w:rFonts w:eastAsia="Times New Roman" w:cstheme="minorHAnsi"/>
            <w:lang w:eastAsia="pt-PT"/>
          </w:rPr>
          <w:t>Regulamento de Execução (UE) n.º 809/2014</w:t>
        </w:r>
      </w:hyperlink>
      <w:r w:rsidRPr="00CD1009">
        <w:rPr>
          <w:rFonts w:eastAsia="Times New Roman" w:cstheme="minorHAnsi"/>
          <w:lang w:eastAsia="pt-PT"/>
        </w:rPr>
        <w:t>, da Comissão, de 17 de julho, e demais legislação aplicável.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2 - O incumprimento dos critérios de elegibilidade determina a devolução da totalidade dos apoios recebidos.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3 - A aplicação de reduções e exclusões dos apoios concedidos ou a conceder, em caso de incumprimento das obrigações dos beneficiários previstas no artigo 8.º da presente portaria e no artigo 24.º do Decreto-Lei n.º 159/2014, de 27 de outubro, é efetuada de acordo com o previsto no anexo II à presente portaria, da qual faz parte integrante.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lastRenderedPageBreak/>
        <w:t xml:space="preserve">4 - À recuperação dos montantes indevidamente recebidos, designadamente por incumprimento dos critérios de elegibilidade ou de obrigações dos beneficiários, aplica-se o disposto no artigo 7.º do </w:t>
      </w:r>
      <w:hyperlink r:id="rId17" w:tgtFrame="_blank" w:tooltip="Link para Regulamento da União Europeia" w:history="1">
        <w:r w:rsidRPr="00CD1009">
          <w:rPr>
            <w:rFonts w:eastAsia="Times New Roman" w:cstheme="minorHAnsi"/>
            <w:lang w:eastAsia="pt-PT"/>
          </w:rPr>
          <w:t>Regulamento de Execução (UE) n.º 809/2014</w:t>
        </w:r>
      </w:hyperlink>
      <w:r w:rsidRPr="00CD1009">
        <w:rPr>
          <w:rFonts w:eastAsia="Times New Roman" w:cstheme="minorHAnsi"/>
          <w:lang w:eastAsia="pt-PT"/>
        </w:rPr>
        <w:t>, da Comissão, de 17 de julho de 2014, no artigo 26.º do Decreto-Lei n.º 159/2014, de 27 de outubro, no artigo 12.º do Decreto-Lei n.º 195/2012, de 13 de agosto, e na demais legislação aplicável.</w:t>
      </w:r>
    </w:p>
    <w:p w:rsidR="00884C70" w:rsidRPr="00851FFC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851FFC">
        <w:rPr>
          <w:rFonts w:cstheme="minorHAnsi"/>
        </w:rPr>
        <w:t>5 - A omissão ou prestação de informação incorreta para efeitos da aplicação do artigo 10.º e n.º 2 do artigo 12.º da presente portaria determina a exclusão da candidatura.</w:t>
      </w:r>
      <w:r>
        <w:rPr>
          <w:rStyle w:val="Refdenotaderodap"/>
          <w:rFonts w:cstheme="minorHAnsi"/>
        </w:rPr>
        <w:footnoteReference w:id="29"/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CAPÍTULO III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Disposições finais e transitórias</w:t>
      </w:r>
    </w:p>
    <w:p w:rsidR="00884C70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Artigo 18.º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Norma transitória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1 - O primeiro período de apresentação de candidaturas decorre de 23 de fevereiro a 30 de abril de 2015.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2 - As candidaturas apresentadas entre 19 de fevereiro e 30 de junho de 2014, à ação n.º 1.1.3 «Instalação de Jovens Agricultores» da medida n.º 1.1 «Inovação e Desenvolvimento Empresarial» integrada no subprograma n.º 1 «Promoção da Competitividade» do PRODER que ainda não foram objeto de decisão, são analisadas e decididas, com base nos critérios estabelecidos na presente portaria relativamente à tipologia «Prémio à instalação», mantendo, para todos os efeitos, as respetivas data de apresentação e ordem de submissão.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3 - Relativamente à tipologia «Apoio aos investimentos realizados na exploração» da ação n.º 1.1.3 «Instalação de Jovens Agricultores» da medida n.º 1.1 «Inovação e Desenvolvimento Empresarial» integrada no subprograma n.º 1 «Promoção da Competitividade» do PRODER que ainda não foram objeto de decisão, são analisadas e decididas, com base nos critérios estabelecidos na Portaria n.º 230/2014 de 11 de novembro, mantendo, para todos os efeitos, as respetivas data de apresentação e ordem de submissão.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4 - Para efeitos do disposto nos n.</w:t>
      </w:r>
      <w:r>
        <w:rPr>
          <w:rFonts w:eastAsia="Times New Roman" w:cstheme="minorHAnsi"/>
          <w:lang w:eastAsia="pt-PT"/>
        </w:rPr>
        <w:t>º</w:t>
      </w:r>
      <w:r w:rsidRPr="00CD1009">
        <w:rPr>
          <w:rFonts w:eastAsia="Times New Roman" w:cstheme="minorHAnsi"/>
          <w:lang w:eastAsia="pt-PT"/>
        </w:rPr>
        <w:t>s 2 e 3, podem ser solicitados aos candidatos os elementos complementares que se revelem necessários à adequação das candidaturas para efeitos de monitorização do programa.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5 - A autoridade de gestão prevê uma dotação específica para as operações relativas às candidaturas referidas nos n.</w:t>
      </w:r>
      <w:r>
        <w:rPr>
          <w:rFonts w:eastAsia="Times New Roman" w:cstheme="minorHAnsi"/>
          <w:lang w:eastAsia="pt-PT"/>
        </w:rPr>
        <w:t>º</w:t>
      </w:r>
      <w:r w:rsidRPr="00CD1009">
        <w:rPr>
          <w:rFonts w:eastAsia="Times New Roman" w:cstheme="minorHAnsi"/>
          <w:lang w:eastAsia="pt-PT"/>
        </w:rPr>
        <w:t>s 2 e 3.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lastRenderedPageBreak/>
        <w:t>Artigo 19.º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Entrada em vigor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 presente portaria entra em vigor no dia seguinte ao da sua publicação.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O Secretário de Estado da Agricultura, José Diogo Santiago de Albuquerque, em 10 de fevereiro de 2015.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>
        <w:rPr>
          <w:rFonts w:eastAsia="Times New Roman" w:cstheme="minorHAnsi"/>
          <w:lang w:eastAsia="pt-PT"/>
        </w:rPr>
        <w:t>ANEXO I</w:t>
      </w:r>
    </w:p>
    <w:p w:rsidR="00884C70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>
        <w:rPr>
          <w:rFonts w:eastAsia="Times New Roman" w:cstheme="minorHAnsi"/>
          <w:lang w:eastAsia="pt-PT"/>
        </w:rPr>
        <w:t>(Revogado)</w:t>
      </w:r>
      <w:r>
        <w:rPr>
          <w:rStyle w:val="Refdenotaderodap"/>
          <w:rFonts w:eastAsia="Times New Roman" w:cstheme="minorHAnsi"/>
          <w:lang w:eastAsia="pt-PT"/>
        </w:rPr>
        <w:footnoteReference w:id="30"/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ANEXO II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Reduções e exclusões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center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[a que se refere o n.º 3 do artigo 17.º]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1 - O incumprimento das obrigações dos beneficiários, previstas no artigo 8.º da presente portaria e no artigo 24.º do Decreto-Lei n.º 159/2014, de 27 de outubro, determina a aplicação das seguintes reduções ou exclusões:</w:t>
      </w:r>
      <w:r w:rsidR="00963484">
        <w:rPr>
          <w:rFonts w:eastAsia="Times New Roman" w:cstheme="minorHAnsi"/>
          <w:lang w:eastAsia="pt-PT"/>
        </w:rPr>
        <w:t xml:space="preserve"> </w:t>
      </w:r>
    </w:p>
    <w:p w:rsidR="00884C70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tbl>
      <w:tblPr>
        <w:tblStyle w:val="Tabelacomgrelha"/>
        <w:tblW w:w="8494" w:type="dxa"/>
        <w:tblLook w:val="04A0" w:firstRow="1" w:lastRow="0" w:firstColumn="1" w:lastColumn="0" w:noHBand="0" w:noVBand="1"/>
      </w:tblPr>
      <w:tblGrid>
        <w:gridCol w:w="3891"/>
        <w:gridCol w:w="4603"/>
      </w:tblGrid>
      <w:tr w:rsidR="00884C70" w:rsidRPr="005C5AD3" w:rsidTr="00372661">
        <w:tc>
          <w:tcPr>
            <w:tcW w:w="3891" w:type="dxa"/>
          </w:tcPr>
          <w:p w:rsidR="00884C70" w:rsidRPr="005C5AD3" w:rsidRDefault="00884C70" w:rsidP="00372661">
            <w:pPr>
              <w:widowControl w:val="0"/>
              <w:jc w:val="center"/>
              <w:rPr>
                <w:rFonts w:cstheme="minorHAnsi"/>
              </w:rPr>
            </w:pPr>
            <w:r w:rsidRPr="005C5AD3">
              <w:rPr>
                <w:rFonts w:cstheme="minorHAnsi"/>
              </w:rPr>
              <w:t>Obrigações dos beneficiários</w:t>
            </w:r>
          </w:p>
        </w:tc>
        <w:tc>
          <w:tcPr>
            <w:tcW w:w="4603" w:type="dxa"/>
          </w:tcPr>
          <w:p w:rsidR="00884C70" w:rsidRPr="005C5AD3" w:rsidRDefault="00884C70" w:rsidP="00372661">
            <w:pPr>
              <w:widowControl w:val="0"/>
              <w:jc w:val="center"/>
              <w:rPr>
                <w:rFonts w:cstheme="minorHAnsi"/>
              </w:rPr>
            </w:pPr>
            <w:r w:rsidRPr="005C5AD3">
              <w:rPr>
                <w:rFonts w:cstheme="minorHAnsi"/>
              </w:rPr>
              <w:t>Consequências do incumprimento</w:t>
            </w:r>
          </w:p>
        </w:tc>
      </w:tr>
      <w:tr w:rsidR="00884C70" w:rsidRPr="005C5AD3" w:rsidTr="00372661">
        <w:tc>
          <w:tcPr>
            <w:tcW w:w="3891" w:type="dxa"/>
          </w:tcPr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 xml:space="preserve">Manter as condições previstas na alínea </w:t>
            </w:r>
            <w:r w:rsidRPr="005C5AD3">
              <w:rPr>
                <w:rFonts w:cstheme="minorHAnsi"/>
                <w:i/>
                <w:iCs/>
              </w:rPr>
              <w:t>b</w:t>
            </w:r>
            <w:r w:rsidRPr="005C5AD3">
              <w:rPr>
                <w:rFonts w:cstheme="minorHAnsi"/>
              </w:rPr>
              <w:t>) do artigo 4.º durante o período de duração do plano empresarial.</w:t>
            </w:r>
          </w:p>
        </w:tc>
        <w:tc>
          <w:tcPr>
            <w:tcW w:w="4603" w:type="dxa"/>
          </w:tcPr>
          <w:p w:rsidR="00884C70" w:rsidRPr="005C5AD3" w:rsidRDefault="00884C70" w:rsidP="00372661">
            <w:pPr>
              <w:widowControl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Devolução do apoio.</w:t>
            </w:r>
          </w:p>
        </w:tc>
      </w:tr>
      <w:tr w:rsidR="00884C70" w:rsidRPr="005C5AD3" w:rsidTr="00372661">
        <w:tc>
          <w:tcPr>
            <w:tcW w:w="3891" w:type="dxa"/>
            <w:tcBorders>
              <w:bottom w:val="single" w:sz="4" w:space="0" w:color="auto"/>
            </w:tcBorders>
          </w:tcPr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 xml:space="preserve">Executar investimentos previstos no plano empresarial (Subalínea </w:t>
            </w:r>
            <w:r w:rsidRPr="005C5AD3">
              <w:rPr>
                <w:rFonts w:cstheme="minorHAnsi"/>
                <w:i/>
                <w:iCs/>
              </w:rPr>
              <w:t>iv</w:t>
            </w:r>
            <w:r w:rsidRPr="005C5AD3">
              <w:rPr>
                <w:rFonts w:cstheme="minorHAnsi"/>
              </w:rPr>
              <w:t xml:space="preserve">) da alínea </w:t>
            </w:r>
            <w:r w:rsidRPr="005C5AD3">
              <w:rPr>
                <w:rFonts w:cstheme="minorHAnsi"/>
                <w:i/>
                <w:iCs/>
              </w:rPr>
              <w:t>f</w:t>
            </w:r>
            <w:r w:rsidRPr="005C5AD3">
              <w:rPr>
                <w:rFonts w:cstheme="minorHAnsi"/>
              </w:rPr>
              <w:t>) do n.º 1 do artigo 5.º).</w:t>
            </w:r>
          </w:p>
        </w:tc>
        <w:tc>
          <w:tcPr>
            <w:tcW w:w="4603" w:type="dxa"/>
          </w:tcPr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Se a execução física prevista no plano empresarial divergir da execução física efetivamente realizada e,</w:t>
            </w:r>
          </w:p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Se a execução financeira prevista no plano empresarial divergir da execução efetivamente realizada, são aplicadas as seguintes reduções:</w:t>
            </w:r>
          </w:p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  <w:i/>
                <w:iCs/>
              </w:rPr>
              <w:t>a</w:t>
            </w:r>
            <w:r w:rsidRPr="005C5AD3">
              <w:rPr>
                <w:rFonts w:cstheme="minorHAnsi"/>
              </w:rPr>
              <w:t>) 0,75 ≤ B/A &lt; 0,90 = Redução PA _ PB;</w:t>
            </w:r>
          </w:p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  <w:i/>
                <w:iCs/>
              </w:rPr>
              <w:t>b</w:t>
            </w:r>
            <w:r w:rsidRPr="005C5AD3">
              <w:rPr>
                <w:rFonts w:cstheme="minorHAnsi"/>
              </w:rPr>
              <w:t>) 0,50 ≤ B/A &lt; 0,75 = Redução PA_ 0,9 PB;</w:t>
            </w:r>
          </w:p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  <w:i/>
                <w:iCs/>
              </w:rPr>
              <w:t>c</w:t>
            </w:r>
            <w:r w:rsidRPr="005C5AD3">
              <w:rPr>
                <w:rFonts w:cstheme="minorHAnsi"/>
              </w:rPr>
              <w:t>) B/A &lt; 0,5 = Devolução PA.</w:t>
            </w:r>
          </w:p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Em que:</w:t>
            </w:r>
          </w:p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— A corresponde ao montante do investimento proposto no plano empresarial;</w:t>
            </w:r>
          </w:p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lastRenderedPageBreak/>
              <w:t>— B corresponde ao montante do investimento executado;</w:t>
            </w:r>
          </w:p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— PA corresponde ao prémio associado ao investimento proposto no plano</w:t>
            </w:r>
          </w:p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empresarial;</w:t>
            </w:r>
          </w:p>
          <w:p w:rsidR="00884C70" w:rsidRPr="005C5AD3" w:rsidRDefault="00884C70" w:rsidP="00372661">
            <w:pPr>
              <w:widowControl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— PB corresponde ao prémio associado ao investimento executado.</w:t>
            </w:r>
          </w:p>
        </w:tc>
      </w:tr>
      <w:tr w:rsidR="00884C70" w:rsidRPr="005C5AD3" w:rsidTr="00372661">
        <w:tc>
          <w:tcPr>
            <w:tcW w:w="8494" w:type="dxa"/>
            <w:gridSpan w:val="2"/>
            <w:tcBorders>
              <w:bottom w:val="single" w:sz="4" w:space="0" w:color="auto"/>
            </w:tcBorders>
          </w:tcPr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  <w:i/>
              </w:rPr>
            </w:pPr>
            <w:r w:rsidRPr="005C5AD3">
              <w:rPr>
                <w:rFonts w:cstheme="minorHAnsi"/>
                <w:i/>
              </w:rPr>
              <w:lastRenderedPageBreak/>
              <w:t>(Revogado)</w:t>
            </w:r>
            <w:r w:rsidRPr="005C5AD3">
              <w:rPr>
                <w:rStyle w:val="Refdenotaderodap"/>
                <w:rFonts w:cstheme="minorHAnsi"/>
                <w:i/>
              </w:rPr>
              <w:footnoteReference w:id="31"/>
            </w:r>
          </w:p>
        </w:tc>
      </w:tr>
      <w:tr w:rsidR="00884C70" w:rsidRPr="005C5AD3" w:rsidTr="00372661">
        <w:tc>
          <w:tcPr>
            <w:tcW w:w="3891" w:type="dxa"/>
          </w:tcPr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Exercer a atividade agrícola na exploração pelo período mínimo de cinco anos a contar da data de aceitação da concessão do apoio.</w:t>
            </w:r>
          </w:p>
        </w:tc>
        <w:tc>
          <w:tcPr>
            <w:tcW w:w="4603" w:type="dxa"/>
          </w:tcPr>
          <w:p w:rsidR="00884C70" w:rsidRPr="005C5AD3" w:rsidRDefault="00884C70" w:rsidP="00372661">
            <w:pPr>
              <w:widowControl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Devolução do apoio.</w:t>
            </w:r>
          </w:p>
        </w:tc>
      </w:tr>
      <w:tr w:rsidR="00884C70" w:rsidRPr="005C5AD3" w:rsidTr="00372661">
        <w:tc>
          <w:tcPr>
            <w:tcW w:w="8494" w:type="dxa"/>
            <w:gridSpan w:val="2"/>
          </w:tcPr>
          <w:p w:rsidR="00884C70" w:rsidRPr="005C5AD3" w:rsidRDefault="00884C70" w:rsidP="00372661">
            <w:pPr>
              <w:widowControl w:val="0"/>
              <w:jc w:val="both"/>
              <w:rPr>
                <w:rFonts w:cstheme="minorHAnsi"/>
                <w:i/>
              </w:rPr>
            </w:pPr>
            <w:r w:rsidRPr="005C5AD3">
              <w:rPr>
                <w:rFonts w:cstheme="minorHAnsi"/>
                <w:i/>
              </w:rPr>
              <w:t>(Revogado)</w:t>
            </w:r>
            <w:r w:rsidRPr="005C5AD3">
              <w:rPr>
                <w:rStyle w:val="Refdenotaderodap"/>
                <w:rFonts w:cstheme="minorHAnsi"/>
                <w:i/>
              </w:rPr>
              <w:footnoteReference w:id="32"/>
            </w:r>
          </w:p>
        </w:tc>
      </w:tr>
      <w:tr w:rsidR="00884C70" w:rsidRPr="005C5AD3" w:rsidTr="00372661">
        <w:tc>
          <w:tcPr>
            <w:tcW w:w="3891" w:type="dxa"/>
          </w:tcPr>
          <w:p w:rsidR="00884C70" w:rsidRPr="005C5AD3" w:rsidRDefault="00884C70" w:rsidP="00372661">
            <w:pPr>
              <w:widowControl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Adquirir a formação agrícola prevista no n.º 3 do artigo 8.º</w:t>
            </w:r>
          </w:p>
        </w:tc>
        <w:tc>
          <w:tcPr>
            <w:tcW w:w="4603" w:type="dxa"/>
          </w:tcPr>
          <w:p w:rsidR="00884C70" w:rsidRPr="005C5AD3" w:rsidRDefault="00884C70" w:rsidP="00372661">
            <w:pPr>
              <w:widowControl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Devolução do apoio.</w:t>
            </w:r>
          </w:p>
        </w:tc>
      </w:tr>
      <w:tr w:rsidR="00884C70" w:rsidRPr="005C5AD3" w:rsidTr="00372661">
        <w:tc>
          <w:tcPr>
            <w:tcW w:w="3891" w:type="dxa"/>
          </w:tcPr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  <w:i/>
              </w:rPr>
            </w:pPr>
            <w:r w:rsidRPr="005C5AD3">
              <w:rPr>
                <w:rFonts w:cstheme="minorHAnsi"/>
              </w:rPr>
              <w:t>Manter a qualidade de associado de agrupamento ou organização de produtores durante todo o período de duração do plano empresarial.</w:t>
            </w:r>
          </w:p>
        </w:tc>
        <w:tc>
          <w:tcPr>
            <w:tcW w:w="4603" w:type="dxa"/>
          </w:tcPr>
          <w:p w:rsidR="00884C70" w:rsidRPr="005C5AD3" w:rsidRDefault="00884C70" w:rsidP="00372661">
            <w:pPr>
              <w:widowControl w:val="0"/>
              <w:jc w:val="both"/>
              <w:rPr>
                <w:rFonts w:cstheme="minorHAnsi"/>
                <w:i/>
              </w:rPr>
            </w:pPr>
            <w:r w:rsidRPr="005C5AD3">
              <w:rPr>
                <w:rFonts w:cstheme="minorHAnsi"/>
              </w:rPr>
              <w:t>Devolução da majoração no montante de € 5.000.</w:t>
            </w:r>
          </w:p>
        </w:tc>
      </w:tr>
      <w:tr w:rsidR="00884C70" w:rsidRPr="005C5AD3" w:rsidTr="00372661">
        <w:tc>
          <w:tcPr>
            <w:tcW w:w="3891" w:type="dxa"/>
          </w:tcPr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Permitir o acesso à exploração agrícola e aos locais onde se encontrem os elementos e documentos necessários ao acompanhamento e controlo do plano empresarial.</w:t>
            </w:r>
          </w:p>
        </w:tc>
        <w:tc>
          <w:tcPr>
            <w:tcW w:w="4603" w:type="dxa"/>
          </w:tcPr>
          <w:p w:rsidR="00884C70" w:rsidRPr="005C5AD3" w:rsidRDefault="00884C70" w:rsidP="00372661">
            <w:pPr>
              <w:widowControl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Devolução do apoio.</w:t>
            </w:r>
          </w:p>
        </w:tc>
      </w:tr>
      <w:tr w:rsidR="00884C70" w:rsidRPr="005C5AD3" w:rsidTr="00372661">
        <w:tc>
          <w:tcPr>
            <w:tcW w:w="8494" w:type="dxa"/>
            <w:gridSpan w:val="2"/>
          </w:tcPr>
          <w:p w:rsidR="00884C70" w:rsidRPr="005C5AD3" w:rsidRDefault="00884C70" w:rsidP="00372661">
            <w:pPr>
              <w:widowControl w:val="0"/>
              <w:jc w:val="both"/>
              <w:rPr>
                <w:rFonts w:cstheme="minorHAnsi"/>
                <w:i/>
              </w:rPr>
            </w:pPr>
            <w:r w:rsidRPr="005C5AD3">
              <w:rPr>
                <w:rFonts w:cstheme="minorHAnsi"/>
                <w:i/>
              </w:rPr>
              <w:t>(Revogado)</w:t>
            </w:r>
            <w:r>
              <w:rPr>
                <w:rStyle w:val="Refdenotaderodap"/>
                <w:rFonts w:cstheme="minorHAnsi"/>
                <w:i/>
              </w:rPr>
              <w:footnoteReference w:id="33"/>
            </w:r>
          </w:p>
        </w:tc>
      </w:tr>
      <w:tr w:rsidR="00884C70" w:rsidRPr="005C5AD3" w:rsidTr="00372661">
        <w:tc>
          <w:tcPr>
            <w:tcW w:w="3891" w:type="dxa"/>
          </w:tcPr>
          <w:p w:rsidR="00884C70" w:rsidRPr="005C5AD3" w:rsidRDefault="00884C70" w:rsidP="00372661">
            <w:pPr>
              <w:widowControl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lastRenderedPageBreak/>
              <w:t>Manter as condições legais necessárias ao exercício da atividade</w:t>
            </w:r>
          </w:p>
        </w:tc>
        <w:tc>
          <w:tcPr>
            <w:tcW w:w="4603" w:type="dxa"/>
          </w:tcPr>
          <w:p w:rsidR="00884C70" w:rsidRPr="005C5AD3" w:rsidRDefault="00884C70" w:rsidP="00372661">
            <w:pPr>
              <w:widowControl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Redução do apoio, numa percentagem de 5 % a 100 %.</w:t>
            </w:r>
          </w:p>
        </w:tc>
      </w:tr>
      <w:tr w:rsidR="00884C70" w:rsidRPr="005C5AD3" w:rsidTr="00372661">
        <w:tc>
          <w:tcPr>
            <w:tcW w:w="3891" w:type="dxa"/>
          </w:tcPr>
          <w:p w:rsidR="00884C70" w:rsidRPr="005C5AD3" w:rsidRDefault="00884C70" w:rsidP="003726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Dispor de um processo relativo ao plano empresarial, preferencialmente em suporte digital, com toda a documentação relacionada com o mesmo devidamente organizada.</w:t>
            </w:r>
          </w:p>
        </w:tc>
        <w:tc>
          <w:tcPr>
            <w:tcW w:w="4603" w:type="dxa"/>
          </w:tcPr>
          <w:p w:rsidR="00884C70" w:rsidRPr="005C5AD3" w:rsidRDefault="00884C70" w:rsidP="00372661">
            <w:pPr>
              <w:widowControl w:val="0"/>
              <w:jc w:val="both"/>
              <w:rPr>
                <w:rFonts w:cstheme="minorHAnsi"/>
              </w:rPr>
            </w:pPr>
            <w:r w:rsidRPr="005C5AD3">
              <w:rPr>
                <w:rFonts w:cstheme="minorHAnsi"/>
              </w:rPr>
              <w:t>Redução do apoio, numa percentagem de 2 % a 100 %.</w:t>
            </w:r>
          </w:p>
        </w:tc>
      </w:tr>
    </w:tbl>
    <w:p w:rsidR="00884C70" w:rsidRPr="003E7B75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2 - O disposto no número anterior não prejudica, designadamente, a aplicação: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 xml:space="preserve">a) Do mecanismo de suspensão do apoio, previsto no artigo 36.º do </w:t>
      </w:r>
      <w:hyperlink r:id="rId18" w:tgtFrame="_blank" w:tooltip="Link para Regulamento da União Europeia" w:history="1">
        <w:r w:rsidRPr="00CD1009">
          <w:rPr>
            <w:rFonts w:eastAsia="Times New Roman" w:cstheme="minorHAnsi"/>
            <w:lang w:eastAsia="pt-PT"/>
          </w:rPr>
          <w:t>Regulamento Delegado (UE) n.º 640/2014</w:t>
        </w:r>
      </w:hyperlink>
      <w:r w:rsidRPr="00CD1009">
        <w:rPr>
          <w:rFonts w:eastAsia="Times New Roman" w:cstheme="minorHAnsi"/>
          <w:lang w:eastAsia="pt-PT"/>
        </w:rPr>
        <w:t>, da Comissão, de 11 de março de 2014;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 xml:space="preserve">b) Da exclusão prevista, designadamente, nas alíneas a) a f) do n.º 2 do artigo 64.º do </w:t>
      </w:r>
      <w:hyperlink r:id="rId19" w:tgtFrame="_blank" w:tooltip="Link para Regulamento da União Europeia" w:history="1">
        <w:r w:rsidRPr="00CD1009">
          <w:rPr>
            <w:rFonts w:eastAsia="Times New Roman" w:cstheme="minorHAnsi"/>
            <w:lang w:eastAsia="pt-PT"/>
          </w:rPr>
          <w:t>Regulamento (UE) n.º 1306/2013</w:t>
        </w:r>
      </w:hyperlink>
      <w:r w:rsidRPr="00CD1009">
        <w:rPr>
          <w:rFonts w:eastAsia="Times New Roman" w:cstheme="minorHAnsi"/>
          <w:lang w:eastAsia="pt-PT"/>
        </w:rPr>
        <w:t>, do Parlamento Europeu e do Conselho, de 17 de dezembro de 2013;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>
        <w:rPr>
          <w:rFonts w:eastAsia="Times New Roman" w:cstheme="minorHAnsi"/>
          <w:lang w:eastAsia="pt-PT"/>
        </w:rPr>
        <w:t>c) Dos n.º</w:t>
      </w:r>
      <w:r w:rsidRPr="00CD1009">
        <w:rPr>
          <w:rFonts w:eastAsia="Times New Roman" w:cstheme="minorHAnsi"/>
          <w:lang w:eastAsia="pt-PT"/>
        </w:rPr>
        <w:t xml:space="preserve">s 1, 5 e 6 do artigo 35.º do </w:t>
      </w:r>
      <w:hyperlink r:id="rId20" w:tgtFrame="_blank" w:tooltip="Link para Regulamento da União Europeia" w:history="1">
        <w:r w:rsidRPr="00CD1009">
          <w:rPr>
            <w:rFonts w:eastAsia="Times New Roman" w:cstheme="minorHAnsi"/>
            <w:lang w:eastAsia="pt-PT"/>
          </w:rPr>
          <w:t>Regulamento Delegado (UE) n.º 640/2014</w:t>
        </w:r>
      </w:hyperlink>
      <w:r w:rsidRPr="00CD1009">
        <w:rPr>
          <w:rFonts w:eastAsia="Times New Roman" w:cstheme="minorHAnsi"/>
          <w:lang w:eastAsia="pt-PT"/>
        </w:rPr>
        <w:t>, da Comissão, de 11 de março de 2014;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>d) De outras cominações, designadamente de natureza penal, que ao caso couberem.</w:t>
      </w:r>
    </w:p>
    <w:p w:rsidR="00884C70" w:rsidRPr="00CD1009" w:rsidRDefault="00884C70" w:rsidP="00884C70">
      <w:pPr>
        <w:shd w:val="clear" w:color="auto" w:fill="FFFFFF"/>
        <w:spacing w:after="0" w:line="360" w:lineRule="auto"/>
        <w:jc w:val="both"/>
        <w:textAlignment w:val="top"/>
        <w:rPr>
          <w:rFonts w:eastAsia="Times New Roman" w:cstheme="minorHAnsi"/>
          <w:lang w:eastAsia="pt-PT"/>
        </w:rPr>
      </w:pPr>
      <w:r w:rsidRPr="00CD1009">
        <w:rPr>
          <w:rFonts w:eastAsia="Times New Roman" w:cstheme="minorHAnsi"/>
          <w:lang w:eastAsia="pt-PT"/>
        </w:rPr>
        <w:t xml:space="preserve">3 - A medida concreta das reduções previstas no n.º 1 é determinada em função da gravidade, extensão, duração e recorrência do incumprimento, nos termos previstos no n.º 3 do artigo 35.º do </w:t>
      </w:r>
      <w:hyperlink r:id="rId21" w:tgtFrame="_blank" w:tooltip="Link para Regulamento da União Europeia" w:history="1">
        <w:r w:rsidRPr="00CD1009">
          <w:rPr>
            <w:rFonts w:eastAsia="Times New Roman" w:cstheme="minorHAnsi"/>
            <w:lang w:eastAsia="pt-PT"/>
          </w:rPr>
          <w:t>Regulamento Delegado (UE) n.º 640/2014</w:t>
        </w:r>
      </w:hyperlink>
      <w:r w:rsidRPr="00CD1009">
        <w:rPr>
          <w:rFonts w:eastAsia="Times New Roman" w:cstheme="minorHAnsi"/>
          <w:lang w:eastAsia="pt-PT"/>
        </w:rPr>
        <w:t>, da Comissão, de 11 de março de 2014, com base em grelha de ponderação, a divulgar no portal do PDR 2020, em www.pdr-2020.pt, e no portal do IFAP, em www.ifap.pt.</w:t>
      </w:r>
    </w:p>
    <w:p w:rsidR="00F66F7F" w:rsidRPr="00884C70" w:rsidRDefault="00224D86">
      <w:pPr>
        <w:rPr>
          <w:rFonts w:cstheme="minorHAnsi"/>
        </w:rPr>
      </w:pPr>
    </w:p>
    <w:sectPr w:rsidR="00F66F7F" w:rsidRPr="00884C70">
      <w:footerReference w:type="default" r:id="rId2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D86" w:rsidRDefault="00224D86" w:rsidP="00884C70">
      <w:pPr>
        <w:spacing w:after="0" w:line="240" w:lineRule="auto"/>
      </w:pPr>
      <w:r>
        <w:separator/>
      </w:r>
    </w:p>
  </w:endnote>
  <w:endnote w:type="continuationSeparator" w:id="0">
    <w:p w:rsidR="00224D86" w:rsidRDefault="00224D86" w:rsidP="00884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0797143"/>
      <w:docPartObj>
        <w:docPartGallery w:val="Page Numbers (Bottom of Page)"/>
        <w:docPartUnique/>
      </w:docPartObj>
    </w:sdtPr>
    <w:sdtEndPr/>
    <w:sdtContent>
      <w:p w:rsidR="00884C70" w:rsidRDefault="00884C70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F34">
          <w:rPr>
            <w:noProof/>
          </w:rPr>
          <w:t>17</w:t>
        </w:r>
        <w:r>
          <w:fldChar w:fldCharType="end"/>
        </w:r>
      </w:p>
    </w:sdtContent>
  </w:sdt>
  <w:p w:rsidR="00884C70" w:rsidRDefault="00884C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D86" w:rsidRDefault="00224D86" w:rsidP="00884C70">
      <w:pPr>
        <w:spacing w:after="0" w:line="240" w:lineRule="auto"/>
      </w:pPr>
      <w:r>
        <w:separator/>
      </w:r>
    </w:p>
  </w:footnote>
  <w:footnote w:type="continuationSeparator" w:id="0">
    <w:p w:rsidR="00224D86" w:rsidRDefault="00224D86" w:rsidP="00884C70">
      <w:pPr>
        <w:spacing w:after="0" w:line="240" w:lineRule="auto"/>
      </w:pPr>
      <w:r>
        <w:continuationSeparator/>
      </w:r>
    </w:p>
  </w:footnote>
  <w:footnote w:id="1">
    <w:p w:rsidR="00884C70" w:rsidRPr="00143CDB" w:rsidRDefault="00884C70" w:rsidP="001D4BBE">
      <w:pPr>
        <w:pStyle w:val="Textodenotaderodap"/>
        <w:jc w:val="both"/>
        <w:rPr>
          <w:sz w:val="18"/>
          <w:szCs w:val="18"/>
        </w:rPr>
      </w:pPr>
      <w:r w:rsidRPr="00143CDB">
        <w:rPr>
          <w:rStyle w:val="Refdenotaderodap"/>
          <w:sz w:val="18"/>
          <w:szCs w:val="18"/>
        </w:rPr>
        <w:footnoteRef/>
      </w:r>
      <w:r w:rsidRPr="00143CDB">
        <w:rPr>
          <w:sz w:val="18"/>
          <w:szCs w:val="18"/>
        </w:rPr>
        <w:t>Versão consolidada, com as alterações introduzidas pela Portaria n.º 249/2016, de 15 de</w:t>
      </w:r>
      <w:r w:rsidR="001D4BBE" w:rsidRPr="00143CDB">
        <w:rPr>
          <w:sz w:val="18"/>
          <w:szCs w:val="18"/>
        </w:rPr>
        <w:t xml:space="preserve"> setembro;</w:t>
      </w:r>
      <w:r w:rsidRPr="00143CDB">
        <w:rPr>
          <w:sz w:val="18"/>
          <w:szCs w:val="18"/>
        </w:rPr>
        <w:t xml:space="preserve"> </w:t>
      </w:r>
      <w:r w:rsidR="001D4BBE" w:rsidRPr="00143CDB">
        <w:rPr>
          <w:sz w:val="18"/>
          <w:szCs w:val="18"/>
        </w:rPr>
        <w:t xml:space="preserve">Portaria n.º 2/2017, de 2 de janeiro; Portaria n.º 85-A/2017, de 24 de fevereiro com Declaração de Retificação n.º 6/2017, de 9 de março; Portaria n.º 283/2017, de 25 de setembro; Portaria n.º 8/2018, de 5 de janeiro; </w:t>
      </w:r>
      <w:bookmarkStart w:id="0" w:name="_GoBack"/>
      <w:bookmarkEnd w:id="0"/>
      <w:r w:rsidR="001D4BBE" w:rsidRPr="00143CDB">
        <w:rPr>
          <w:sz w:val="18"/>
          <w:szCs w:val="18"/>
        </w:rPr>
        <w:t xml:space="preserve">Portaria n.º 46/2018, de 12 de fevereiro, e Portaria n.º 203/2018, 11 de julho. </w:t>
      </w:r>
    </w:p>
  </w:footnote>
  <w:footnote w:id="2">
    <w:p w:rsidR="00884C70" w:rsidRPr="00A91D44" w:rsidRDefault="00884C70" w:rsidP="00884C70">
      <w:pPr>
        <w:pStyle w:val="Textodenotaderodap"/>
        <w:jc w:val="both"/>
        <w:rPr>
          <w:sz w:val="18"/>
          <w:szCs w:val="18"/>
        </w:rPr>
      </w:pPr>
      <w:r w:rsidRPr="00A91D44">
        <w:rPr>
          <w:rStyle w:val="Refdenotaderodap"/>
          <w:sz w:val="18"/>
          <w:szCs w:val="18"/>
        </w:rPr>
        <w:footnoteRef/>
      </w:r>
      <w:r w:rsidRPr="00A91D44">
        <w:rPr>
          <w:rFonts w:eastAsia="Times New Roman" w:cstheme="minorHAnsi"/>
          <w:sz w:val="18"/>
          <w:szCs w:val="18"/>
          <w:lang w:eastAsia="pt-PT"/>
        </w:rPr>
        <w:t>Redação introduzida pela Portaria n.º 203/2018, de 11 de julho. A anterior redação era: A presente portaria estabelece o regime de aplicação da ação n.º 3.1, «Jovens agricultores», integrada na medida n.º 3, «Valorização da produção agrícola», da área n.º 2, «Competitividade e organização da produção», do Programa de Desenvolvimento Rural do Continente, abreviadamente designado por PDR 2020.</w:t>
      </w:r>
    </w:p>
  </w:footnote>
  <w:footnote w:id="3"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</w:pPr>
      <w:r w:rsidRPr="00A91D44">
        <w:rPr>
          <w:rStyle w:val="Refdenotaderodap"/>
          <w:sz w:val="18"/>
          <w:szCs w:val="18"/>
        </w:rPr>
        <w:footnoteRef/>
      </w:r>
      <w:r w:rsidRPr="00A91D44">
        <w:rPr>
          <w:sz w:val="18"/>
          <w:szCs w:val="18"/>
        </w:rPr>
        <w:t xml:space="preserve"> </w:t>
      </w:r>
      <w:r w:rsidRPr="00A10EFB">
        <w:rPr>
          <w:rFonts w:eastAsia="Times New Roman" w:cstheme="minorHAnsi"/>
          <w:sz w:val="18"/>
          <w:szCs w:val="18"/>
          <w:lang w:eastAsia="pt-PT"/>
        </w:rPr>
        <w:t xml:space="preserve">Redação introduzida pela Portaria n.º </w:t>
      </w:r>
      <w:r>
        <w:rPr>
          <w:rFonts w:eastAsia="Times New Roman" w:cstheme="minorHAnsi"/>
          <w:sz w:val="18"/>
          <w:szCs w:val="18"/>
          <w:lang w:eastAsia="pt-PT"/>
        </w:rPr>
        <w:t>46</w:t>
      </w:r>
      <w:r w:rsidRPr="00A10EFB">
        <w:rPr>
          <w:rFonts w:eastAsia="Times New Roman" w:cstheme="minorHAnsi"/>
          <w:sz w:val="18"/>
          <w:szCs w:val="18"/>
          <w:lang w:eastAsia="pt-PT"/>
        </w:rPr>
        <w:t>/201</w:t>
      </w:r>
      <w:r>
        <w:rPr>
          <w:rFonts w:eastAsia="Times New Roman" w:cstheme="minorHAnsi"/>
          <w:sz w:val="18"/>
          <w:szCs w:val="18"/>
          <w:lang w:eastAsia="pt-PT"/>
        </w:rPr>
        <w:t>8</w:t>
      </w:r>
      <w:r w:rsidRPr="00A10EFB">
        <w:rPr>
          <w:rFonts w:eastAsia="Times New Roman" w:cstheme="minorHAnsi"/>
          <w:sz w:val="18"/>
          <w:szCs w:val="18"/>
          <w:lang w:eastAsia="pt-PT"/>
        </w:rPr>
        <w:t xml:space="preserve">, de </w:t>
      </w:r>
      <w:r>
        <w:rPr>
          <w:rFonts w:eastAsia="Times New Roman" w:cstheme="minorHAnsi"/>
          <w:sz w:val="18"/>
          <w:szCs w:val="18"/>
          <w:lang w:eastAsia="pt-PT"/>
        </w:rPr>
        <w:t>1</w:t>
      </w:r>
      <w:r w:rsidRPr="00A10EFB">
        <w:rPr>
          <w:rFonts w:eastAsia="Times New Roman" w:cstheme="minorHAnsi"/>
          <w:sz w:val="18"/>
          <w:szCs w:val="18"/>
          <w:lang w:eastAsia="pt-PT"/>
        </w:rPr>
        <w:t xml:space="preserve">2 de </w:t>
      </w:r>
      <w:r>
        <w:rPr>
          <w:rFonts w:eastAsia="Times New Roman" w:cstheme="minorHAnsi"/>
          <w:sz w:val="18"/>
          <w:szCs w:val="18"/>
          <w:lang w:eastAsia="pt-PT"/>
        </w:rPr>
        <w:t>fever</w:t>
      </w:r>
      <w:r w:rsidRPr="00A10EFB">
        <w:rPr>
          <w:rFonts w:eastAsia="Times New Roman" w:cstheme="minorHAnsi"/>
          <w:sz w:val="18"/>
          <w:szCs w:val="18"/>
          <w:lang w:eastAsia="pt-PT"/>
        </w:rPr>
        <w:t xml:space="preserve">eiro. A redação original era: </w:t>
      </w:r>
      <w:r w:rsidRPr="00A91D44">
        <w:rPr>
          <w:rFonts w:eastAsia="Times New Roman" w:cstheme="minorHAnsi"/>
          <w:sz w:val="18"/>
          <w:szCs w:val="18"/>
          <w:lang w:eastAsia="pt-PT"/>
        </w:rPr>
        <w:t xml:space="preserve">a) «Agricultor ativo», a pessoa singular ou coletiva, de natureza pública ou privada, que exerça atividade agrícola e que, caso receba um montante de pagamentos diretos superior a (euro) 5.000, não exerça as atividades previstas no n.º 2 do artigo 9.º do </w:t>
      </w:r>
      <w:hyperlink r:id="rId1" w:tgtFrame="_blank" w:tooltip="Link para Regulamento da União Europeia" w:history="1">
        <w:r w:rsidRPr="00A91D44">
          <w:rPr>
            <w:rFonts w:eastAsia="Times New Roman" w:cstheme="minorHAnsi"/>
            <w:sz w:val="18"/>
            <w:szCs w:val="18"/>
            <w:lang w:eastAsia="pt-PT"/>
          </w:rPr>
          <w:t>Regulamento (UE) n.º 1307/2013</w:t>
        </w:r>
      </w:hyperlink>
      <w:r w:rsidRPr="00A91D44">
        <w:rPr>
          <w:rFonts w:eastAsia="Times New Roman" w:cstheme="minorHAnsi"/>
          <w:sz w:val="18"/>
          <w:szCs w:val="18"/>
          <w:lang w:eastAsia="pt-PT"/>
        </w:rPr>
        <w:t>, do Parlamento Europeu e do Conselho, de 17 de dezembro de 2013;</w:t>
      </w:r>
    </w:p>
  </w:footnote>
  <w:footnote w:id="4">
    <w:p w:rsidR="00884C70" w:rsidRPr="00A10EFB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A10EFB">
        <w:rPr>
          <w:rStyle w:val="Refdenotaderodap"/>
          <w:sz w:val="18"/>
          <w:szCs w:val="18"/>
        </w:rPr>
        <w:footnoteRef/>
      </w:r>
      <w:r w:rsidRPr="00A10EFB">
        <w:rPr>
          <w:sz w:val="18"/>
          <w:szCs w:val="18"/>
        </w:rPr>
        <w:t xml:space="preserve"> </w:t>
      </w:r>
      <w:r w:rsidRPr="00A10EFB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 A redação original era: e) «Primeira instalação», a situação em que o jovem agricultor, na qualidade de responsável pela exploração, assume formalmente a titularidade e a gestão da exploração agrícola, e encontra-se inscrito na autoridade tributária com atividade agrícola e no organismo pagador enquanto beneficiário;</w:t>
      </w:r>
    </w:p>
    <w:p w:rsidR="00884C70" w:rsidRDefault="00884C70" w:rsidP="00884C70">
      <w:pPr>
        <w:pStyle w:val="Textodenotaderodap"/>
      </w:pPr>
    </w:p>
  </w:footnote>
  <w:footnote w:id="5">
    <w:p w:rsidR="00884C70" w:rsidRPr="001D70A5" w:rsidRDefault="00884C70" w:rsidP="00884C70">
      <w:pPr>
        <w:pStyle w:val="Textodenotaderodap"/>
        <w:rPr>
          <w:sz w:val="18"/>
          <w:szCs w:val="18"/>
        </w:rPr>
      </w:pPr>
      <w:r w:rsidRPr="001D70A5">
        <w:rPr>
          <w:rStyle w:val="Refdenotaderodap"/>
          <w:sz w:val="18"/>
          <w:szCs w:val="18"/>
        </w:rPr>
        <w:footnoteRef/>
      </w:r>
      <w:r w:rsidRPr="001D70A5">
        <w:rPr>
          <w:sz w:val="18"/>
          <w:szCs w:val="18"/>
        </w:rPr>
        <w:t xml:space="preserve"> </w:t>
      </w:r>
      <w:r w:rsidRPr="001D70A5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</w:t>
      </w:r>
    </w:p>
  </w:footnote>
  <w:footnote w:id="6">
    <w:p w:rsidR="00884C70" w:rsidRPr="00667A1C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667A1C">
        <w:rPr>
          <w:rStyle w:val="Refdenotaderodap"/>
          <w:sz w:val="18"/>
          <w:szCs w:val="18"/>
        </w:rPr>
        <w:footnoteRef/>
      </w:r>
      <w:r w:rsidRPr="00667A1C">
        <w:rPr>
          <w:sz w:val="18"/>
          <w:szCs w:val="18"/>
        </w:rPr>
        <w:t xml:space="preserve"> </w:t>
      </w:r>
      <w:r w:rsidRPr="00667A1C">
        <w:rPr>
          <w:rFonts w:eastAsia="Times New Roman" w:cstheme="minorHAnsi"/>
          <w:sz w:val="18"/>
          <w:szCs w:val="18"/>
          <w:lang w:eastAsia="pt-PT"/>
        </w:rPr>
        <w:t>Redação introduzida pela Portaria n.º 203/2018, de 11 de julho. A anterior redação era: b) As pessoas coletivas que revistam a forma de sociedade por quotas e com a atividade agrícola no objeto social, desde que os sócios gerentes sejam jovens agricultores, na aceção da alínea d) do artigo anterior, detenham a maioria do capital social e individualmente uma participação superior a 25 % no capital social.</w:t>
      </w:r>
    </w:p>
    <w:p w:rsidR="00884C70" w:rsidRDefault="00884C70" w:rsidP="00884C70">
      <w:pPr>
        <w:pStyle w:val="Textodenotaderodap"/>
      </w:pPr>
    </w:p>
  </w:footnote>
  <w:footnote w:id="7"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</w:pPr>
      <w:r w:rsidRPr="001D70A5">
        <w:rPr>
          <w:rStyle w:val="Refdenotaderodap"/>
          <w:sz w:val="18"/>
          <w:szCs w:val="18"/>
        </w:rPr>
        <w:footnoteRef/>
      </w:r>
      <w:r w:rsidRPr="001D70A5">
        <w:rPr>
          <w:sz w:val="18"/>
          <w:szCs w:val="18"/>
        </w:rPr>
        <w:t xml:space="preserve"> </w:t>
      </w:r>
      <w:r w:rsidRPr="001D70A5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 A redação original era: iv) Descrição da totalidade dos investimentos a realizar, com valor igual ou superior a (euro) 55 000, por jovem agricultor, e inferior ou igual a (euro) 3 000 000, por beneficiário, incluindo, se aplicável, os investimentos constantes da candidatura à ação n.º 3.2, «Investimentos na exploração agrícola», do PDR 2020;</w:t>
      </w:r>
    </w:p>
  </w:footnote>
  <w:footnote w:id="8">
    <w:p w:rsidR="00884C70" w:rsidRPr="00851FFC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1D70A5">
        <w:rPr>
          <w:rStyle w:val="Refdenotaderodap"/>
          <w:sz w:val="18"/>
          <w:szCs w:val="18"/>
        </w:rPr>
        <w:footnoteRef/>
      </w:r>
      <w:r w:rsidRPr="001D70A5">
        <w:rPr>
          <w:sz w:val="18"/>
          <w:szCs w:val="18"/>
        </w:rPr>
        <w:t xml:space="preserve"> </w:t>
      </w:r>
      <w:r>
        <w:rPr>
          <w:sz w:val="18"/>
          <w:szCs w:val="18"/>
        </w:rPr>
        <w:t>Redação introduzida pela Portaria n.º 85-A/2017, de 24 de fevereiro. A anterior r</w:t>
      </w:r>
      <w:r w:rsidRPr="001D70A5">
        <w:rPr>
          <w:rFonts w:eastAsia="Times New Roman" w:cstheme="minorHAnsi"/>
          <w:sz w:val="18"/>
          <w:szCs w:val="18"/>
          <w:lang w:eastAsia="pt-PT"/>
        </w:rPr>
        <w:t>edação</w:t>
      </w:r>
      <w:r>
        <w:rPr>
          <w:rFonts w:eastAsia="Times New Roman" w:cstheme="minorHAnsi"/>
          <w:sz w:val="18"/>
          <w:szCs w:val="18"/>
          <w:lang w:eastAsia="pt-PT"/>
        </w:rPr>
        <w:t>,</w:t>
      </w:r>
      <w:r w:rsidRPr="001D70A5">
        <w:rPr>
          <w:rFonts w:eastAsia="Times New Roman" w:cstheme="minorHAnsi"/>
          <w:sz w:val="18"/>
          <w:szCs w:val="18"/>
          <w:lang w:eastAsia="pt-PT"/>
        </w:rPr>
        <w:t xml:space="preserve"> introduzida pela Portaria n.º 2/2017, de 2 de janeiro</w:t>
      </w:r>
      <w:r>
        <w:rPr>
          <w:rFonts w:eastAsia="Times New Roman" w:cstheme="minorHAnsi"/>
          <w:sz w:val="18"/>
          <w:szCs w:val="18"/>
          <w:lang w:eastAsia="pt-PT"/>
        </w:rPr>
        <w:t>, er</w:t>
      </w:r>
      <w:r w:rsidRPr="00851FFC">
        <w:rPr>
          <w:rFonts w:eastAsia="Times New Roman" w:cstheme="minorHAnsi"/>
          <w:sz w:val="18"/>
          <w:szCs w:val="18"/>
          <w:lang w:eastAsia="pt-PT"/>
        </w:rPr>
        <w:t xml:space="preserve">a: </w:t>
      </w:r>
      <w:r w:rsidRPr="00851FFC">
        <w:rPr>
          <w:rFonts w:cstheme="minorHAnsi"/>
          <w:sz w:val="18"/>
          <w:szCs w:val="18"/>
        </w:rPr>
        <w:t>g) Não ter obtido aprovação de quaisquer ajudas aos investimentos no sector agrícola nem ter recebido prémio à primeira instalação antes da data de apresentação da candidatura, com exceção das candidaturas que tenham sido aprovadas nos doze meses anteriores à submissão da candidatura no âmbito do regime de apoio à reestruturação e reconversão da vinha (VITIS);</w:t>
      </w:r>
    </w:p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</w:pPr>
      <w:r w:rsidRPr="00851FFC">
        <w:rPr>
          <w:rFonts w:eastAsia="Times New Roman" w:cstheme="minorHAnsi"/>
          <w:sz w:val="18"/>
          <w:szCs w:val="18"/>
          <w:lang w:eastAsia="pt-PT"/>
        </w:rPr>
        <w:t>A redação original era: g) Não ter obtido aprovação de quaisquer ajudas ao inv</w:t>
      </w:r>
      <w:r w:rsidRPr="001D70A5">
        <w:rPr>
          <w:rFonts w:eastAsia="Times New Roman" w:cstheme="minorHAnsi"/>
          <w:sz w:val="18"/>
          <w:szCs w:val="18"/>
          <w:lang w:eastAsia="pt-PT"/>
        </w:rPr>
        <w:t>estimento nem ter recebido prémio à primeira instalação antes da data de apresentação da candidatura, com exceção das candidaturas que tenham sido aprovadas nos últimos doze meses no âmbito do regime de apoio à reestruturação e reconversão das vinhas (VITIS);</w:t>
      </w:r>
    </w:p>
  </w:footnote>
  <w:footnote w:id="9">
    <w:p w:rsidR="00884C70" w:rsidRPr="001D70A5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1D70A5">
        <w:rPr>
          <w:rStyle w:val="Refdenotaderodap"/>
          <w:sz w:val="18"/>
          <w:szCs w:val="18"/>
        </w:rPr>
        <w:footnoteRef/>
      </w:r>
      <w:r w:rsidRPr="001D70A5">
        <w:rPr>
          <w:sz w:val="18"/>
          <w:szCs w:val="18"/>
        </w:rPr>
        <w:t xml:space="preserve"> </w:t>
      </w:r>
      <w:r w:rsidRPr="001D70A5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 A redação original era: h) Não ter recebido quaisquer ajudas à produção ou à atividade agrícola no âmbito do pedido único, exceto nos dois anos anteriores ao ano de apresentação do pedido de apoio.</w:t>
      </w:r>
    </w:p>
    <w:p w:rsidR="00884C70" w:rsidRDefault="00884C70" w:rsidP="00884C70">
      <w:pPr>
        <w:pStyle w:val="Textodenotaderodap"/>
      </w:pPr>
    </w:p>
  </w:footnote>
  <w:footnote w:id="10">
    <w:p w:rsidR="00884C70" w:rsidRPr="001D70A5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lang w:eastAsia="pt-PT"/>
        </w:rPr>
      </w:pPr>
      <w:r>
        <w:rPr>
          <w:rStyle w:val="Refdenotaderodap"/>
        </w:rPr>
        <w:footnoteRef/>
      </w:r>
      <w:r>
        <w:t xml:space="preserve"> </w:t>
      </w:r>
      <w:r w:rsidRPr="001D70A5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 A redação original era:</w:t>
      </w:r>
    </w:p>
    <w:p w:rsidR="00884C70" w:rsidRPr="001D70A5" w:rsidRDefault="00884C70" w:rsidP="00884C70">
      <w:pPr>
        <w:shd w:val="clear" w:color="auto" w:fill="FFFFFF"/>
        <w:spacing w:after="0" w:line="240" w:lineRule="auto"/>
        <w:ind w:left="567" w:right="567"/>
        <w:jc w:val="center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1D70A5">
        <w:rPr>
          <w:rFonts w:eastAsia="Times New Roman" w:cstheme="minorHAnsi"/>
          <w:sz w:val="18"/>
          <w:szCs w:val="18"/>
          <w:lang w:eastAsia="pt-PT"/>
        </w:rPr>
        <w:t>Artigo 6.º</w:t>
      </w:r>
    </w:p>
    <w:p w:rsidR="00884C70" w:rsidRPr="001D70A5" w:rsidRDefault="00884C70" w:rsidP="00884C70">
      <w:pPr>
        <w:shd w:val="clear" w:color="auto" w:fill="FFFFFF"/>
        <w:spacing w:after="0" w:line="240" w:lineRule="auto"/>
        <w:ind w:left="567" w:right="567"/>
        <w:jc w:val="center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1D70A5">
        <w:rPr>
          <w:rFonts w:eastAsia="Times New Roman" w:cstheme="minorHAnsi"/>
          <w:sz w:val="18"/>
          <w:szCs w:val="18"/>
          <w:lang w:eastAsia="pt-PT"/>
        </w:rPr>
        <w:t>Critérios de seleção das candidaturas</w:t>
      </w:r>
    </w:p>
    <w:p w:rsidR="00884C70" w:rsidRPr="001D70A5" w:rsidRDefault="00884C70" w:rsidP="00884C70">
      <w:pPr>
        <w:shd w:val="clear" w:color="auto" w:fill="FFFFFF"/>
        <w:spacing w:after="0" w:line="240" w:lineRule="auto"/>
        <w:ind w:left="567" w:right="567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1D70A5">
        <w:rPr>
          <w:rFonts w:eastAsia="Times New Roman" w:cstheme="minorHAnsi"/>
          <w:sz w:val="18"/>
          <w:szCs w:val="18"/>
          <w:lang w:eastAsia="pt-PT"/>
        </w:rPr>
        <w:t>1 - Para efeitos de seleção das candidaturas, são considerados os seguintes critérios de prioridade:</w:t>
      </w:r>
    </w:p>
    <w:p w:rsidR="00884C70" w:rsidRPr="001D70A5" w:rsidRDefault="00884C70" w:rsidP="00884C70">
      <w:pPr>
        <w:shd w:val="clear" w:color="auto" w:fill="FFFFFF"/>
        <w:spacing w:after="0" w:line="240" w:lineRule="auto"/>
        <w:ind w:left="567" w:right="567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1D70A5">
        <w:rPr>
          <w:rFonts w:eastAsia="Times New Roman" w:cstheme="minorHAnsi"/>
          <w:sz w:val="18"/>
          <w:szCs w:val="18"/>
          <w:lang w:eastAsia="pt-PT"/>
        </w:rPr>
        <w:t>a) Candidaturas de jovens agricultores que tenham adquirido a titularidade da exploração agrícola ou de qualquer das suas unidades através da bolsa nacional de terras prevista na Lei n.º 62/2012, de 10 de dezembro, e no Decreto-Lei n.º 21/2014, de 11 de fevereiro;</w:t>
      </w:r>
    </w:p>
    <w:p w:rsidR="00884C70" w:rsidRPr="001D70A5" w:rsidRDefault="00884C70" w:rsidP="00884C70">
      <w:pPr>
        <w:shd w:val="clear" w:color="auto" w:fill="FFFFFF"/>
        <w:spacing w:after="0" w:line="240" w:lineRule="auto"/>
        <w:ind w:left="567" w:right="567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1D70A5">
        <w:rPr>
          <w:rFonts w:eastAsia="Times New Roman" w:cstheme="minorHAnsi"/>
          <w:sz w:val="18"/>
          <w:szCs w:val="18"/>
          <w:lang w:eastAsia="pt-PT"/>
        </w:rPr>
        <w:t>b) Candidaturas de jovens agricultores que se instalem em regiões nas quais se verificou perda de população intercensitária, definidas pelo Gabinete de Planeamento Políticas e Administração Geral e divulgadas no portal do PDR 2020, em www.pdr-2020.pt.</w:t>
      </w:r>
    </w:p>
    <w:p w:rsidR="00884C70" w:rsidRDefault="00884C70" w:rsidP="00884C70">
      <w:pPr>
        <w:shd w:val="clear" w:color="auto" w:fill="FFFFFF"/>
        <w:spacing w:after="0" w:line="240" w:lineRule="auto"/>
        <w:ind w:left="567" w:right="567"/>
        <w:jc w:val="both"/>
        <w:textAlignment w:val="top"/>
      </w:pPr>
      <w:r w:rsidRPr="001D70A5">
        <w:rPr>
          <w:rFonts w:eastAsia="Times New Roman" w:cstheme="minorHAnsi"/>
          <w:sz w:val="18"/>
          <w:szCs w:val="18"/>
          <w:lang w:eastAsia="pt-PT"/>
        </w:rPr>
        <w:t>2 - A hierarquização dos critérios constantes do número anterior e respetivo critério de desempate são definidos pela autoridade de gestão e divulgados no portal do PDR 2020, em www.pdr-2020.pt, no respetivo anúncio do período de apresentação de candidaturas.</w:t>
      </w:r>
    </w:p>
  </w:footnote>
  <w:footnote w:id="11">
    <w:p w:rsidR="00884C70" w:rsidRPr="00667A1C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430E8A">
        <w:rPr>
          <w:rStyle w:val="Refdenotaderodap"/>
          <w:sz w:val="18"/>
          <w:szCs w:val="18"/>
        </w:rPr>
        <w:footnoteRef/>
      </w:r>
      <w:r w:rsidRPr="00430E8A">
        <w:rPr>
          <w:sz w:val="18"/>
          <w:szCs w:val="18"/>
        </w:rPr>
        <w:t xml:space="preserve"> </w:t>
      </w:r>
      <w:r w:rsidRPr="00430E8A">
        <w:rPr>
          <w:rFonts w:eastAsia="Times New Roman" w:cstheme="minorHAnsi"/>
          <w:sz w:val="18"/>
          <w:szCs w:val="18"/>
          <w:lang w:eastAsia="pt-PT"/>
        </w:rPr>
        <w:t xml:space="preserve">Redação introduzida pela Portaria n.º </w:t>
      </w:r>
      <w:r>
        <w:rPr>
          <w:rFonts w:eastAsia="Times New Roman" w:cstheme="minorHAnsi"/>
          <w:sz w:val="18"/>
          <w:szCs w:val="18"/>
          <w:lang w:eastAsia="pt-PT"/>
        </w:rPr>
        <w:t xml:space="preserve">203/2018, de 11 de julho. </w:t>
      </w:r>
      <w:r w:rsidRPr="00667A1C">
        <w:rPr>
          <w:rFonts w:eastAsia="Times New Roman" w:cstheme="minorHAnsi"/>
          <w:sz w:val="18"/>
          <w:szCs w:val="18"/>
          <w:lang w:eastAsia="pt-PT"/>
        </w:rPr>
        <w:t xml:space="preserve">A anterior redação, introduzida pela Portaria n.º 2/2017, de 2 de janeiro, era: </w:t>
      </w:r>
      <w:r w:rsidRPr="00667A1C">
        <w:rPr>
          <w:rFonts w:cstheme="minorHAnsi"/>
          <w:sz w:val="18"/>
          <w:szCs w:val="18"/>
        </w:rPr>
        <w:t>2 - O montante do prémio à instalação é de (euro) 20 000 por jovem agricultor, acrescido de (euro) 5000 no caso de o investimento na exploração ser igual ou superior a (euro) 100 000, por jovem agricultor, e de (euro) 5000 no caso de o jovem agricultor se instalar em regime de exclusividade.</w:t>
      </w:r>
    </w:p>
    <w:p w:rsidR="00884C70" w:rsidRPr="00667A1C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667A1C">
        <w:rPr>
          <w:rFonts w:eastAsia="Times New Roman" w:cstheme="minorHAnsi"/>
          <w:sz w:val="18"/>
          <w:szCs w:val="18"/>
          <w:lang w:eastAsia="pt-PT"/>
        </w:rPr>
        <w:t>A redação original era:</w:t>
      </w:r>
    </w:p>
    <w:p w:rsidR="00884C70" w:rsidRPr="00667A1C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667A1C">
        <w:rPr>
          <w:rFonts w:eastAsia="Times New Roman" w:cstheme="minorHAnsi"/>
          <w:sz w:val="18"/>
          <w:szCs w:val="18"/>
          <w:lang w:eastAsia="pt-PT"/>
        </w:rPr>
        <w:t>2 - O montante do prémio à instalação é de (euro) 15 000 por jovem agricultor, ao qual pode acrescer uma das seguintes majorações:</w:t>
      </w:r>
    </w:p>
    <w:p w:rsidR="00884C70" w:rsidRPr="00430E8A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667A1C">
        <w:rPr>
          <w:rFonts w:eastAsia="Times New Roman" w:cstheme="minorHAnsi"/>
          <w:sz w:val="18"/>
          <w:szCs w:val="18"/>
          <w:lang w:eastAsia="pt-PT"/>
        </w:rPr>
        <w:t>a) 25 % do montante do prémio, se o plano empresarial incluir, por jovem agricultor, investimentos na exploração</w:t>
      </w:r>
      <w:r w:rsidRPr="00430E8A">
        <w:rPr>
          <w:rFonts w:eastAsia="Times New Roman" w:cstheme="minorHAnsi"/>
          <w:sz w:val="18"/>
          <w:szCs w:val="18"/>
          <w:lang w:eastAsia="pt-PT"/>
        </w:rPr>
        <w:t xml:space="preserve"> cujo valor seja igual ou superior a (euro) 80 000;</w:t>
      </w:r>
    </w:p>
    <w:p w:rsidR="00884C70" w:rsidRPr="00430E8A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430E8A">
        <w:rPr>
          <w:rFonts w:eastAsia="Times New Roman" w:cstheme="minorHAnsi"/>
          <w:sz w:val="18"/>
          <w:szCs w:val="18"/>
          <w:lang w:eastAsia="pt-PT"/>
        </w:rPr>
        <w:t>b) 50 % do montante do prémio, se o plano empresarial incluir, por jovem agricultor, investimentos na exploração cujo valor seja igual ou superior a (euro) 100 000;</w:t>
      </w:r>
    </w:p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</w:pPr>
      <w:r w:rsidRPr="00430E8A">
        <w:rPr>
          <w:rFonts w:eastAsia="Times New Roman" w:cstheme="minorHAnsi"/>
          <w:sz w:val="18"/>
          <w:szCs w:val="18"/>
          <w:lang w:eastAsia="pt-PT"/>
        </w:rPr>
        <w:t>c) 75 % do montante do prémio, se o plano empresarial incluir, por jovem agricultor, investimentos na exploração cujo valor seja igual ou superior a (euro) 140 000.</w:t>
      </w:r>
    </w:p>
  </w:footnote>
  <w:footnote w:id="12"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</w:pPr>
      <w:r w:rsidRPr="00430E8A">
        <w:rPr>
          <w:rStyle w:val="Refdenotaderodap"/>
          <w:sz w:val="18"/>
          <w:szCs w:val="18"/>
        </w:rPr>
        <w:footnoteRef/>
      </w:r>
      <w:r w:rsidRPr="00430E8A">
        <w:rPr>
          <w:sz w:val="18"/>
          <w:szCs w:val="18"/>
        </w:rPr>
        <w:t xml:space="preserve"> </w:t>
      </w:r>
      <w:r w:rsidRPr="00430E8A">
        <w:rPr>
          <w:rFonts w:eastAsia="Times New Roman" w:cstheme="minorHAnsi"/>
          <w:sz w:val="18"/>
          <w:szCs w:val="18"/>
          <w:lang w:eastAsia="pt-PT"/>
        </w:rPr>
        <w:t>Revogado pela Portaria n.º 2/2017, de 2 de janeiro. A redação original era: 3 - Quando o beneficiário seja membro de agrupamento ou organização de produtores reconhecido no sector relacionado com a instalação, é atribuída uma majoração de (euro) 5.000.</w:t>
      </w:r>
    </w:p>
  </w:footnote>
  <w:footnote w:id="13"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</w:pPr>
      <w:r w:rsidRPr="00430E8A">
        <w:rPr>
          <w:rStyle w:val="Refdenotaderodap"/>
          <w:sz w:val="18"/>
          <w:szCs w:val="18"/>
        </w:rPr>
        <w:footnoteRef/>
      </w:r>
      <w:r w:rsidRPr="00430E8A">
        <w:rPr>
          <w:sz w:val="18"/>
          <w:szCs w:val="18"/>
        </w:rPr>
        <w:t xml:space="preserve"> </w:t>
      </w:r>
      <w:r w:rsidRPr="00430E8A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 A redação original era: b) Cumprir o plano empresarial no prazo previsto na alínea f) do n.º 1 do artigo 5.º, devendo iniciar o mesmo no prazo de 6 meses a contar da data de aceitação do apoio;</w:t>
      </w:r>
    </w:p>
  </w:footnote>
  <w:footnote w:id="14">
    <w:p w:rsidR="00884C70" w:rsidRPr="00A91D44" w:rsidRDefault="00884C70" w:rsidP="00884C70">
      <w:pPr>
        <w:pStyle w:val="Textodenotaderodap"/>
        <w:jc w:val="both"/>
        <w:rPr>
          <w:sz w:val="18"/>
          <w:szCs w:val="18"/>
        </w:rPr>
      </w:pPr>
      <w:r w:rsidRPr="00A91D44">
        <w:rPr>
          <w:rStyle w:val="Refdenotaderodap"/>
          <w:sz w:val="18"/>
          <w:szCs w:val="18"/>
        </w:rPr>
        <w:footnoteRef/>
      </w:r>
      <w:r w:rsidRPr="00A91D44">
        <w:rPr>
          <w:sz w:val="18"/>
          <w:szCs w:val="18"/>
        </w:rPr>
        <w:t xml:space="preserve"> Revogado pela Portaria n.º 46/2018, de 12 de fevereiro. A redação original era: </w:t>
      </w:r>
      <w:r w:rsidRPr="00A91D44">
        <w:rPr>
          <w:rFonts w:eastAsia="Times New Roman" w:cstheme="minorHAnsi"/>
          <w:sz w:val="18"/>
          <w:szCs w:val="18"/>
          <w:lang w:eastAsia="pt-PT"/>
        </w:rPr>
        <w:t>d) Adquirir a condição de agricultor ativo, no prazo de doze meses a contar da data de aceitação da concessão do apoio;</w:t>
      </w:r>
    </w:p>
  </w:footnote>
  <w:footnote w:id="15">
    <w:p w:rsidR="00884C70" w:rsidRPr="00ED0D35" w:rsidRDefault="00884C70" w:rsidP="00884C70">
      <w:pPr>
        <w:pStyle w:val="Textodenotaderodap"/>
        <w:rPr>
          <w:sz w:val="18"/>
          <w:szCs w:val="18"/>
        </w:rPr>
      </w:pPr>
      <w:r w:rsidRPr="00ED0D35">
        <w:rPr>
          <w:rStyle w:val="Refdenotaderodap"/>
          <w:sz w:val="18"/>
          <w:szCs w:val="18"/>
        </w:rPr>
        <w:footnoteRef/>
      </w:r>
      <w:r w:rsidRPr="00ED0D35">
        <w:rPr>
          <w:sz w:val="18"/>
          <w:szCs w:val="18"/>
        </w:rPr>
        <w:t xml:space="preserve"> </w:t>
      </w:r>
      <w:r w:rsidRPr="00ED0D35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</w:t>
      </w:r>
    </w:p>
  </w:footnote>
  <w:footnote w:id="16">
    <w:p w:rsidR="00884C70" w:rsidRPr="00ED0D35" w:rsidRDefault="00884C70" w:rsidP="00884C70">
      <w:pPr>
        <w:pStyle w:val="Textodenotaderodap"/>
        <w:rPr>
          <w:sz w:val="18"/>
          <w:szCs w:val="18"/>
        </w:rPr>
      </w:pPr>
      <w:r w:rsidRPr="00ED0D35">
        <w:rPr>
          <w:rStyle w:val="Refdenotaderodap"/>
          <w:sz w:val="18"/>
          <w:szCs w:val="18"/>
        </w:rPr>
        <w:footnoteRef/>
      </w:r>
      <w:r w:rsidRPr="00ED0D35">
        <w:rPr>
          <w:sz w:val="18"/>
          <w:szCs w:val="18"/>
        </w:rPr>
        <w:t xml:space="preserve"> </w:t>
      </w:r>
      <w:r w:rsidRPr="00ED0D35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</w:t>
      </w:r>
    </w:p>
  </w:footnote>
  <w:footnote w:id="17">
    <w:p w:rsidR="00884C70" w:rsidRPr="00ED0D35" w:rsidRDefault="00884C70" w:rsidP="00884C70">
      <w:pPr>
        <w:pStyle w:val="Textodenotaderodap"/>
        <w:rPr>
          <w:sz w:val="18"/>
          <w:szCs w:val="18"/>
        </w:rPr>
      </w:pPr>
      <w:r w:rsidRPr="00ED0D35">
        <w:rPr>
          <w:rStyle w:val="Refdenotaderodap"/>
          <w:sz w:val="18"/>
          <w:szCs w:val="18"/>
        </w:rPr>
        <w:footnoteRef/>
      </w:r>
      <w:r w:rsidRPr="00ED0D35">
        <w:rPr>
          <w:sz w:val="18"/>
          <w:szCs w:val="18"/>
        </w:rPr>
        <w:t xml:space="preserve"> </w:t>
      </w:r>
      <w:r w:rsidRPr="00ED0D35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</w:t>
      </w:r>
    </w:p>
  </w:footnote>
  <w:footnote w:id="18">
    <w:p w:rsidR="00884C70" w:rsidRPr="00ED0D35" w:rsidRDefault="00884C70" w:rsidP="00884C70">
      <w:pPr>
        <w:pStyle w:val="Textodenotaderodap"/>
        <w:rPr>
          <w:sz w:val="18"/>
          <w:szCs w:val="18"/>
        </w:rPr>
      </w:pPr>
      <w:r w:rsidRPr="00ED0D35">
        <w:rPr>
          <w:rStyle w:val="Refdenotaderodap"/>
          <w:sz w:val="18"/>
          <w:szCs w:val="18"/>
        </w:rPr>
        <w:footnoteRef/>
      </w:r>
      <w:r w:rsidRPr="00ED0D35">
        <w:rPr>
          <w:sz w:val="18"/>
          <w:szCs w:val="18"/>
        </w:rPr>
        <w:t xml:space="preserve"> </w:t>
      </w:r>
      <w:r w:rsidRPr="00ED0D35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</w:t>
      </w:r>
    </w:p>
  </w:footnote>
  <w:footnote w:id="19"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</w:pPr>
      <w:r w:rsidRPr="00ED0D35">
        <w:rPr>
          <w:rStyle w:val="Refdenotaderodap"/>
          <w:sz w:val="18"/>
          <w:szCs w:val="18"/>
        </w:rPr>
        <w:footnoteRef/>
      </w:r>
      <w:r w:rsidRPr="00ED0D35">
        <w:rPr>
          <w:sz w:val="18"/>
          <w:szCs w:val="18"/>
        </w:rPr>
        <w:t xml:space="preserve"> </w:t>
      </w:r>
      <w:r w:rsidRPr="00ED0D35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 A redação original era: a) Qualificação de nível 2, 3, 4, 5, nas áreas de Educação e Formação 621 - Produção Agrícola e Animal, 622 - Floricultura e Jardinagem e 623 - Silvicultura e Caça ou uma qualificação de nível 6, 7 ou 8, relativas ao ensino superior, nas áreas agrícola, florestal ou animal;</w:t>
      </w:r>
    </w:p>
  </w:footnote>
  <w:footnote w:id="20"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</w:pPr>
      <w:r w:rsidRPr="00615251">
        <w:rPr>
          <w:rStyle w:val="Refdenotaderodap"/>
          <w:sz w:val="18"/>
          <w:szCs w:val="18"/>
        </w:rPr>
        <w:footnoteRef/>
      </w:r>
      <w:r w:rsidRPr="00615251">
        <w:rPr>
          <w:sz w:val="18"/>
          <w:szCs w:val="18"/>
        </w:rPr>
        <w:t xml:space="preserve"> </w:t>
      </w:r>
      <w:r w:rsidRPr="00ED0D35">
        <w:rPr>
          <w:rFonts w:eastAsia="Times New Roman" w:cstheme="minorHAnsi"/>
          <w:sz w:val="18"/>
          <w:szCs w:val="18"/>
          <w:lang w:eastAsia="pt-PT"/>
        </w:rPr>
        <w:t>Redação introduzida pela Portaria n.º 2</w:t>
      </w:r>
      <w:r>
        <w:rPr>
          <w:rFonts w:eastAsia="Times New Roman" w:cstheme="minorHAnsi"/>
          <w:sz w:val="18"/>
          <w:szCs w:val="18"/>
          <w:lang w:eastAsia="pt-PT"/>
        </w:rPr>
        <w:t>83</w:t>
      </w:r>
      <w:r w:rsidRPr="00ED0D35">
        <w:rPr>
          <w:rFonts w:eastAsia="Times New Roman" w:cstheme="minorHAnsi"/>
          <w:sz w:val="18"/>
          <w:szCs w:val="18"/>
          <w:lang w:eastAsia="pt-PT"/>
        </w:rPr>
        <w:t>/2017, de 2</w:t>
      </w:r>
      <w:r>
        <w:rPr>
          <w:rFonts w:eastAsia="Times New Roman" w:cstheme="minorHAnsi"/>
          <w:sz w:val="18"/>
          <w:szCs w:val="18"/>
          <w:lang w:eastAsia="pt-PT"/>
        </w:rPr>
        <w:t>5</w:t>
      </w:r>
      <w:r w:rsidRPr="00ED0D35">
        <w:rPr>
          <w:rFonts w:eastAsia="Times New Roman" w:cstheme="minorHAnsi"/>
          <w:sz w:val="18"/>
          <w:szCs w:val="18"/>
          <w:lang w:eastAsia="pt-PT"/>
        </w:rPr>
        <w:t xml:space="preserve"> de </w:t>
      </w:r>
      <w:r>
        <w:rPr>
          <w:rFonts w:eastAsia="Times New Roman" w:cstheme="minorHAnsi"/>
          <w:sz w:val="18"/>
          <w:szCs w:val="18"/>
          <w:lang w:eastAsia="pt-PT"/>
        </w:rPr>
        <w:t>setembro</w:t>
      </w:r>
      <w:r w:rsidRPr="00ED0D35">
        <w:rPr>
          <w:rFonts w:eastAsia="Times New Roman" w:cstheme="minorHAnsi"/>
          <w:sz w:val="18"/>
          <w:szCs w:val="18"/>
          <w:lang w:eastAsia="pt-PT"/>
        </w:rPr>
        <w:t>.</w:t>
      </w:r>
      <w:r>
        <w:rPr>
          <w:rFonts w:eastAsia="Times New Roman" w:cstheme="minorHAnsi"/>
          <w:sz w:val="18"/>
          <w:szCs w:val="18"/>
          <w:lang w:eastAsia="pt-PT"/>
        </w:rPr>
        <w:t xml:space="preserve"> A redação anterior era: </w:t>
      </w:r>
      <w:r w:rsidRPr="00615251">
        <w:rPr>
          <w:rFonts w:eastAsia="Times New Roman" w:cstheme="minorHAnsi"/>
          <w:sz w:val="18"/>
          <w:szCs w:val="18"/>
          <w:lang w:eastAsia="pt-PT"/>
        </w:rPr>
        <w:t>a) Formação com base nas unidades de formação de curta duração do referencial de formação 621312, «Técnico/a de Produção Agropecuária», de nível 4, do Catálogo Nacional de Qualificações, constituída pelo código 7580, de 50 horas de duração, no prazo máximo de 12 meses a contar da data de aceitação da concessão do apoio;</w:t>
      </w:r>
    </w:p>
  </w:footnote>
  <w:footnote w:id="21">
    <w:p w:rsidR="00884C70" w:rsidRPr="00615251" w:rsidRDefault="00884C70" w:rsidP="00884C70">
      <w:pPr>
        <w:pStyle w:val="NormalWeb"/>
        <w:shd w:val="clear" w:color="auto" w:fill="FFFFFF"/>
        <w:spacing w:after="0"/>
        <w:jc w:val="both"/>
        <w:textAlignment w:val="top"/>
        <w:rPr>
          <w:rFonts w:asciiTheme="minorHAnsi" w:hAnsiTheme="minorHAnsi" w:cstheme="minorHAnsi"/>
          <w:sz w:val="18"/>
          <w:szCs w:val="18"/>
        </w:rPr>
      </w:pPr>
      <w:r w:rsidRPr="00615251">
        <w:rPr>
          <w:rStyle w:val="Refdenotaderodap"/>
          <w:rFonts w:asciiTheme="minorHAnsi" w:hAnsiTheme="minorHAnsi" w:cstheme="minorHAnsi"/>
          <w:sz w:val="18"/>
          <w:szCs w:val="18"/>
        </w:rPr>
        <w:footnoteRef/>
      </w:r>
      <w:r w:rsidRPr="00615251">
        <w:rPr>
          <w:rFonts w:asciiTheme="minorHAnsi" w:hAnsiTheme="minorHAnsi" w:cstheme="minorHAnsi"/>
          <w:sz w:val="18"/>
          <w:szCs w:val="18"/>
        </w:rPr>
        <w:t xml:space="preserve"> Redação introduzida pela Portaria n.º 283/2017, de 25 de setembro. A redação anterior, introduzida pela Portaria n.º 85-A/2017, de 24 de fevereiro, era: b) Formação complementar, nomeadamente na tipologia «formação-ação» ou formação modular do Catálogo Nacional de Qualificações, no prazo máximo de 24 meses a contar da data de aceitação da concessão do apoio, com uma duração mínima de 150 horas, numa ou em ambas as áreas abaixo indicadas:</w:t>
      </w:r>
    </w:p>
    <w:p w:rsidR="00884C70" w:rsidRPr="00615251" w:rsidRDefault="00884C70" w:rsidP="00884C70">
      <w:pPr>
        <w:pStyle w:val="NormalWeb"/>
        <w:shd w:val="clear" w:color="auto" w:fill="FFFFFF"/>
        <w:spacing w:after="0"/>
        <w:jc w:val="both"/>
        <w:textAlignment w:val="top"/>
        <w:rPr>
          <w:rFonts w:asciiTheme="minorHAnsi" w:hAnsiTheme="minorHAnsi" w:cstheme="minorHAnsi"/>
          <w:sz w:val="18"/>
          <w:szCs w:val="18"/>
        </w:rPr>
      </w:pPr>
      <w:r w:rsidRPr="00615251">
        <w:rPr>
          <w:rFonts w:asciiTheme="minorHAnsi" w:hAnsiTheme="minorHAnsi" w:cstheme="minorHAnsi"/>
          <w:sz w:val="18"/>
          <w:szCs w:val="18"/>
        </w:rPr>
        <w:t>i) Área da produção agrícola ou animal diretamente relacionada com o setor do investimento;</w:t>
      </w:r>
    </w:p>
    <w:p w:rsidR="00884C70" w:rsidRPr="00615251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615251">
        <w:rPr>
          <w:rFonts w:cstheme="minorHAnsi"/>
          <w:sz w:val="18"/>
          <w:szCs w:val="18"/>
        </w:rPr>
        <w:t>ii) Área de gestão.</w:t>
      </w:r>
    </w:p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615251">
        <w:rPr>
          <w:rFonts w:eastAsia="Times New Roman" w:cstheme="minorHAnsi"/>
          <w:sz w:val="18"/>
          <w:szCs w:val="18"/>
          <w:lang w:eastAsia="pt-PT"/>
        </w:rPr>
        <w:t xml:space="preserve">Antes desta, a anterior redação, introduzida pela Portaria n.º 2/2017, de 2 de janeiro, era: </w:t>
      </w:r>
      <w:r w:rsidRPr="00615251">
        <w:rPr>
          <w:rFonts w:cstheme="minorHAnsi"/>
          <w:sz w:val="18"/>
          <w:szCs w:val="18"/>
        </w:rPr>
        <w:t>b) Formação complementar na área da produção agrícola ou animal diretamente relacionada com o sector do investimento ou de gestão com uma duração mínima de 150 horas, nomeadamente na tipologia «formação-ação» ou formação modular do Catálogo Nacional de Qualificações, ou recorrer aos serviços de aconselhamento agrícola, no prazo máximo de 24 meses a contar da data de aceitação da concessão do apoio.</w:t>
      </w:r>
      <w:r w:rsidRPr="00615251">
        <w:rPr>
          <w:rFonts w:eastAsia="Times New Roman" w:cstheme="minorHAnsi"/>
          <w:sz w:val="18"/>
          <w:szCs w:val="18"/>
          <w:lang w:eastAsia="pt-PT"/>
        </w:rPr>
        <w:t xml:space="preserve"> </w:t>
      </w:r>
    </w:p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</w:pPr>
      <w:r w:rsidRPr="00615251">
        <w:rPr>
          <w:rFonts w:eastAsia="Times New Roman" w:cstheme="minorHAnsi"/>
          <w:sz w:val="18"/>
          <w:szCs w:val="18"/>
          <w:lang w:eastAsia="pt-PT"/>
        </w:rPr>
        <w:t>A redação original era: b) Formação agrícola complementar na</w:t>
      </w:r>
      <w:r w:rsidRPr="00340D7F">
        <w:rPr>
          <w:rFonts w:eastAsia="Times New Roman" w:cstheme="minorHAnsi"/>
          <w:sz w:val="18"/>
          <w:szCs w:val="18"/>
          <w:lang w:eastAsia="pt-PT"/>
        </w:rPr>
        <w:t xml:space="preserve"> área de investimento que se propõem realizar, conforme anexo I à presente portaria, da qual faz</w:t>
      </w:r>
      <w:r w:rsidRPr="00ED0D35">
        <w:rPr>
          <w:rFonts w:eastAsia="Times New Roman" w:cstheme="minorHAnsi"/>
          <w:sz w:val="18"/>
          <w:szCs w:val="18"/>
          <w:lang w:eastAsia="pt-PT"/>
        </w:rPr>
        <w:t xml:space="preserve"> parte integrante, ou recorrer aos serviços de aconselhamento agrícola, no prazo máximo de 24 meses a contar da data de aceitação da concessão do apoio.</w:t>
      </w:r>
    </w:p>
  </w:footnote>
  <w:footnote w:id="22">
    <w:p w:rsidR="00884C70" w:rsidRPr="00340D7F" w:rsidRDefault="00884C70" w:rsidP="00884C70">
      <w:pPr>
        <w:pStyle w:val="Textodenotaderodap"/>
        <w:rPr>
          <w:sz w:val="18"/>
          <w:szCs w:val="18"/>
        </w:rPr>
      </w:pPr>
      <w:r w:rsidRPr="00340D7F">
        <w:rPr>
          <w:rStyle w:val="Refdenotaderodap"/>
          <w:sz w:val="18"/>
          <w:szCs w:val="18"/>
        </w:rPr>
        <w:footnoteRef/>
      </w:r>
      <w:r w:rsidRPr="00340D7F">
        <w:rPr>
          <w:sz w:val="18"/>
          <w:szCs w:val="18"/>
        </w:rPr>
        <w:t xml:space="preserve"> </w:t>
      </w:r>
      <w:r w:rsidRPr="00340D7F">
        <w:rPr>
          <w:rFonts w:eastAsia="Times New Roman" w:cstheme="minorHAnsi"/>
          <w:sz w:val="18"/>
          <w:szCs w:val="18"/>
          <w:lang w:eastAsia="pt-PT"/>
        </w:rPr>
        <w:t>Redação introduzida pela Portaria n.º 85-A/2017, de 24 de fevereiro</w:t>
      </w:r>
      <w:r>
        <w:rPr>
          <w:rFonts w:eastAsia="Times New Roman" w:cstheme="minorHAnsi"/>
          <w:sz w:val="18"/>
          <w:szCs w:val="18"/>
          <w:lang w:eastAsia="pt-PT"/>
        </w:rPr>
        <w:t>, retificada pela Declaração de Retificação n.º 6/2017, de 9 de março</w:t>
      </w:r>
      <w:r w:rsidRPr="00340D7F">
        <w:rPr>
          <w:rFonts w:eastAsia="Times New Roman" w:cstheme="minorHAnsi"/>
          <w:sz w:val="18"/>
          <w:szCs w:val="18"/>
          <w:lang w:eastAsia="pt-PT"/>
        </w:rPr>
        <w:t>.</w:t>
      </w:r>
    </w:p>
  </w:footnote>
  <w:footnote w:id="23">
    <w:p w:rsidR="00884C70" w:rsidRDefault="00884C70" w:rsidP="00884C70">
      <w:pPr>
        <w:pStyle w:val="Textodenotaderodap"/>
      </w:pPr>
      <w:r w:rsidRPr="00615251">
        <w:rPr>
          <w:rStyle w:val="Refdenotaderodap"/>
          <w:sz w:val="18"/>
          <w:szCs w:val="18"/>
        </w:rPr>
        <w:footnoteRef/>
      </w:r>
      <w:r>
        <w:t xml:space="preserve"> </w:t>
      </w:r>
      <w:r w:rsidRPr="00ED0D35">
        <w:rPr>
          <w:rFonts w:eastAsia="Times New Roman" w:cstheme="minorHAnsi"/>
          <w:sz w:val="18"/>
          <w:szCs w:val="18"/>
          <w:lang w:eastAsia="pt-PT"/>
        </w:rPr>
        <w:t>Redação introduzida pela Portaria n.º 2</w:t>
      </w:r>
      <w:r>
        <w:rPr>
          <w:rFonts w:eastAsia="Times New Roman" w:cstheme="minorHAnsi"/>
          <w:sz w:val="18"/>
          <w:szCs w:val="18"/>
          <w:lang w:eastAsia="pt-PT"/>
        </w:rPr>
        <w:t>83</w:t>
      </w:r>
      <w:r w:rsidRPr="00ED0D35">
        <w:rPr>
          <w:rFonts w:eastAsia="Times New Roman" w:cstheme="minorHAnsi"/>
          <w:sz w:val="18"/>
          <w:szCs w:val="18"/>
          <w:lang w:eastAsia="pt-PT"/>
        </w:rPr>
        <w:t>/2017, de 2</w:t>
      </w:r>
      <w:r>
        <w:rPr>
          <w:rFonts w:eastAsia="Times New Roman" w:cstheme="minorHAnsi"/>
          <w:sz w:val="18"/>
          <w:szCs w:val="18"/>
          <w:lang w:eastAsia="pt-PT"/>
        </w:rPr>
        <w:t>5</w:t>
      </w:r>
      <w:r w:rsidRPr="00ED0D35">
        <w:rPr>
          <w:rFonts w:eastAsia="Times New Roman" w:cstheme="minorHAnsi"/>
          <w:sz w:val="18"/>
          <w:szCs w:val="18"/>
          <w:lang w:eastAsia="pt-PT"/>
        </w:rPr>
        <w:t xml:space="preserve"> de </w:t>
      </w:r>
      <w:r>
        <w:rPr>
          <w:rFonts w:eastAsia="Times New Roman" w:cstheme="minorHAnsi"/>
          <w:sz w:val="18"/>
          <w:szCs w:val="18"/>
          <w:lang w:eastAsia="pt-PT"/>
        </w:rPr>
        <w:t>setembro</w:t>
      </w:r>
      <w:r w:rsidRPr="00ED0D35">
        <w:rPr>
          <w:rFonts w:eastAsia="Times New Roman" w:cstheme="minorHAnsi"/>
          <w:sz w:val="18"/>
          <w:szCs w:val="18"/>
          <w:lang w:eastAsia="pt-PT"/>
        </w:rPr>
        <w:t>.</w:t>
      </w:r>
    </w:p>
  </w:footnote>
  <w:footnote w:id="24">
    <w:p w:rsidR="00884C70" w:rsidRPr="00ED0D35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ED0D35">
        <w:rPr>
          <w:rStyle w:val="Refdenotaderodap"/>
          <w:sz w:val="18"/>
          <w:szCs w:val="18"/>
        </w:rPr>
        <w:footnoteRef/>
      </w:r>
      <w:r w:rsidRPr="00ED0D3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Antes da </w:t>
      </w:r>
      <w:r w:rsidRPr="00ED0D35">
        <w:rPr>
          <w:rFonts w:eastAsia="Times New Roman" w:cstheme="minorHAnsi"/>
          <w:sz w:val="18"/>
          <w:szCs w:val="18"/>
          <w:lang w:eastAsia="pt-PT"/>
        </w:rPr>
        <w:t>Portaria n.º 2</w:t>
      </w:r>
      <w:r>
        <w:rPr>
          <w:rFonts w:eastAsia="Times New Roman" w:cstheme="minorHAnsi"/>
          <w:sz w:val="18"/>
          <w:szCs w:val="18"/>
          <w:lang w:eastAsia="pt-PT"/>
        </w:rPr>
        <w:t>83</w:t>
      </w:r>
      <w:r w:rsidRPr="00ED0D35">
        <w:rPr>
          <w:rFonts w:eastAsia="Times New Roman" w:cstheme="minorHAnsi"/>
          <w:sz w:val="18"/>
          <w:szCs w:val="18"/>
          <w:lang w:eastAsia="pt-PT"/>
        </w:rPr>
        <w:t>/2017, de 2</w:t>
      </w:r>
      <w:r>
        <w:rPr>
          <w:rFonts w:eastAsia="Times New Roman" w:cstheme="minorHAnsi"/>
          <w:sz w:val="18"/>
          <w:szCs w:val="18"/>
          <w:lang w:eastAsia="pt-PT"/>
        </w:rPr>
        <w:t>5</w:t>
      </w:r>
      <w:r w:rsidRPr="00ED0D35">
        <w:rPr>
          <w:rFonts w:eastAsia="Times New Roman" w:cstheme="minorHAnsi"/>
          <w:sz w:val="18"/>
          <w:szCs w:val="18"/>
          <w:lang w:eastAsia="pt-PT"/>
        </w:rPr>
        <w:t xml:space="preserve"> de </w:t>
      </w:r>
      <w:r>
        <w:rPr>
          <w:rFonts w:eastAsia="Times New Roman" w:cstheme="minorHAnsi"/>
          <w:sz w:val="18"/>
          <w:szCs w:val="18"/>
          <w:lang w:eastAsia="pt-PT"/>
        </w:rPr>
        <w:t xml:space="preserve">setembro, correspondia ao n.º 4 do artigo. </w:t>
      </w:r>
      <w:r w:rsidRPr="00ED0D35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 A redação original era: 4 - Para efeitos de atribuição da majoração prevista no n.º 3 do artigo 7.º, os beneficiários devem aderir a agrupamento ou organização de produtores reconhecido no sector relacionado com a instalação, no prazo de 12 meses a contar da data de aceitação da concessão do apoio e manter a respetiva qualidade de membro durante todo o período de duração do plano empresarial.</w:t>
      </w:r>
    </w:p>
    <w:p w:rsidR="00884C70" w:rsidRDefault="00884C70" w:rsidP="00884C70">
      <w:pPr>
        <w:pStyle w:val="Textodenotaderodap"/>
      </w:pPr>
    </w:p>
  </w:footnote>
  <w:footnote w:id="25">
    <w:p w:rsidR="00884C70" w:rsidRDefault="00884C70" w:rsidP="00884C70">
      <w:pPr>
        <w:pStyle w:val="NormalWeb"/>
        <w:shd w:val="clear" w:color="auto" w:fill="FFFFFF"/>
        <w:spacing w:after="0"/>
        <w:jc w:val="both"/>
        <w:textAlignment w:val="top"/>
        <w:rPr>
          <w:rFonts w:asciiTheme="minorHAnsi" w:hAnsiTheme="minorHAnsi" w:cstheme="minorHAnsi"/>
          <w:sz w:val="18"/>
          <w:szCs w:val="18"/>
        </w:rPr>
      </w:pPr>
      <w:r w:rsidRPr="00A10EFB">
        <w:rPr>
          <w:rStyle w:val="Refdenotaderodap"/>
          <w:rFonts w:asciiTheme="minorHAnsi" w:hAnsiTheme="minorHAnsi" w:cstheme="minorHAnsi"/>
          <w:sz w:val="18"/>
          <w:szCs w:val="18"/>
        </w:rPr>
        <w:footnoteRef/>
      </w:r>
      <w:r w:rsidRPr="00A10EFB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Revogado pela Portaria n.º 46/2018, de 12 de fevereiro, este artigo tinha um n.º 1 </w:t>
      </w:r>
      <w:r w:rsidRPr="00420F7F">
        <w:rPr>
          <w:rFonts w:asciiTheme="minorHAnsi" w:hAnsiTheme="minorHAnsi" w:cstheme="minorHAnsi"/>
          <w:sz w:val="18"/>
          <w:szCs w:val="18"/>
        </w:rPr>
        <w:t>introduzid</w:t>
      </w:r>
      <w:r>
        <w:rPr>
          <w:rFonts w:asciiTheme="minorHAnsi" w:hAnsiTheme="minorHAnsi" w:cstheme="minorHAnsi"/>
          <w:sz w:val="18"/>
          <w:szCs w:val="18"/>
        </w:rPr>
        <w:t>o</w:t>
      </w:r>
      <w:r w:rsidRPr="00420F7F">
        <w:rPr>
          <w:rFonts w:asciiTheme="minorHAnsi" w:hAnsiTheme="minorHAnsi" w:cstheme="minorHAnsi"/>
          <w:sz w:val="18"/>
          <w:szCs w:val="18"/>
        </w:rPr>
        <w:t xml:space="preserve"> pela Portaria n.º 2/201</w:t>
      </w:r>
      <w:r>
        <w:rPr>
          <w:rFonts w:asciiTheme="minorHAnsi" w:hAnsiTheme="minorHAnsi" w:cstheme="minorHAnsi"/>
          <w:sz w:val="18"/>
          <w:szCs w:val="18"/>
        </w:rPr>
        <w:t>7</w:t>
      </w:r>
      <w:r w:rsidRPr="00420F7F">
        <w:rPr>
          <w:rFonts w:asciiTheme="minorHAnsi" w:hAnsiTheme="minorHAnsi" w:cstheme="minorHAnsi"/>
          <w:sz w:val="18"/>
          <w:szCs w:val="18"/>
        </w:rPr>
        <w:t xml:space="preserve">, de </w:t>
      </w:r>
      <w:r>
        <w:rPr>
          <w:rFonts w:asciiTheme="minorHAnsi" w:hAnsiTheme="minorHAnsi" w:cstheme="minorHAnsi"/>
          <w:sz w:val="18"/>
          <w:szCs w:val="18"/>
        </w:rPr>
        <w:t>2</w:t>
      </w:r>
      <w:r w:rsidRPr="00420F7F">
        <w:rPr>
          <w:rFonts w:asciiTheme="minorHAnsi" w:hAnsiTheme="minorHAnsi" w:cstheme="minorHAnsi"/>
          <w:sz w:val="18"/>
          <w:szCs w:val="18"/>
        </w:rPr>
        <w:t xml:space="preserve"> de </w:t>
      </w:r>
      <w:r>
        <w:rPr>
          <w:rFonts w:asciiTheme="minorHAnsi" w:hAnsiTheme="minorHAnsi" w:cstheme="minorHAnsi"/>
          <w:sz w:val="18"/>
          <w:szCs w:val="18"/>
        </w:rPr>
        <w:t>janeiro, apresentando a seguinte redação:</w:t>
      </w:r>
    </w:p>
    <w:p w:rsidR="00884C70" w:rsidRPr="003C7391" w:rsidRDefault="00884C70" w:rsidP="00884C70">
      <w:pPr>
        <w:pStyle w:val="NormalWeb"/>
        <w:shd w:val="clear" w:color="auto" w:fill="FFFFFF"/>
        <w:spacing w:after="0"/>
        <w:jc w:val="center"/>
        <w:textAlignment w:val="top"/>
        <w:rPr>
          <w:rFonts w:asciiTheme="minorHAnsi" w:hAnsiTheme="minorHAnsi" w:cstheme="minorHAnsi"/>
          <w:sz w:val="18"/>
          <w:szCs w:val="18"/>
        </w:rPr>
      </w:pPr>
      <w:r w:rsidRPr="003C7391">
        <w:rPr>
          <w:rFonts w:asciiTheme="minorHAnsi" w:hAnsiTheme="minorHAnsi" w:cstheme="minorHAnsi"/>
          <w:sz w:val="18"/>
          <w:szCs w:val="18"/>
        </w:rPr>
        <w:t>Artigo 1</w:t>
      </w:r>
      <w:r>
        <w:rPr>
          <w:rFonts w:asciiTheme="minorHAnsi" w:hAnsiTheme="minorHAnsi" w:cstheme="minorHAnsi"/>
          <w:sz w:val="18"/>
          <w:szCs w:val="18"/>
        </w:rPr>
        <w:t>2</w:t>
      </w:r>
      <w:r w:rsidRPr="003C7391">
        <w:rPr>
          <w:rFonts w:asciiTheme="minorHAnsi" w:hAnsiTheme="minorHAnsi" w:cstheme="minorHAnsi"/>
          <w:sz w:val="18"/>
          <w:szCs w:val="18"/>
        </w:rPr>
        <w:t>.º</w:t>
      </w:r>
    </w:p>
    <w:p w:rsidR="00884C70" w:rsidRPr="003C7391" w:rsidRDefault="00884C70" w:rsidP="00884C70">
      <w:pPr>
        <w:pStyle w:val="NormalWeb"/>
        <w:shd w:val="clear" w:color="auto" w:fill="FFFFFF"/>
        <w:spacing w:after="0"/>
        <w:jc w:val="center"/>
        <w:textAlignment w:val="top"/>
        <w:rPr>
          <w:rFonts w:asciiTheme="minorHAnsi" w:hAnsiTheme="minorHAnsi" w:cstheme="minorHAnsi"/>
          <w:sz w:val="18"/>
          <w:szCs w:val="18"/>
        </w:rPr>
      </w:pPr>
      <w:r w:rsidRPr="003C7391">
        <w:rPr>
          <w:rFonts w:asciiTheme="minorHAnsi" w:hAnsiTheme="minorHAnsi" w:cstheme="minorHAnsi"/>
          <w:sz w:val="18"/>
          <w:szCs w:val="18"/>
        </w:rPr>
        <w:t>Transição das candidaturas</w:t>
      </w:r>
    </w:p>
    <w:p w:rsidR="00884C70" w:rsidRPr="003C7391" w:rsidRDefault="00884C70" w:rsidP="00884C70">
      <w:pPr>
        <w:pStyle w:val="NormalWeb"/>
        <w:shd w:val="clear" w:color="auto" w:fill="FFFFFF"/>
        <w:spacing w:after="0"/>
        <w:ind w:left="567" w:right="567"/>
        <w:jc w:val="both"/>
        <w:textAlignment w:val="top"/>
        <w:rPr>
          <w:rFonts w:asciiTheme="minorHAnsi" w:hAnsiTheme="minorHAnsi" w:cstheme="minorHAnsi"/>
          <w:sz w:val="18"/>
          <w:szCs w:val="18"/>
        </w:rPr>
      </w:pPr>
      <w:r w:rsidRPr="00ED0D35">
        <w:rPr>
          <w:rFonts w:asciiTheme="minorHAnsi" w:hAnsiTheme="minorHAnsi" w:cstheme="minorHAnsi"/>
          <w:sz w:val="18"/>
          <w:szCs w:val="18"/>
        </w:rPr>
        <w:t>1 - As candidaturas que tenham obtido classificação igual ou superior à pontuação mínima necessária para seleção das operações e para as quais não tenha existido dotação orçamental transitam para o período de apresentação de candidaturas seguinte, no qual são analisadas e hierarquizadas de acordo com os critérios de seleção e demais condições aplicáveis a esse novo período.</w:t>
      </w:r>
    </w:p>
    <w:p w:rsidR="00884C70" w:rsidRPr="003C7391" w:rsidRDefault="00884C70" w:rsidP="00884C70">
      <w:pPr>
        <w:pStyle w:val="NormalWeb"/>
        <w:shd w:val="clear" w:color="auto" w:fill="FFFFFF"/>
        <w:spacing w:after="0"/>
        <w:ind w:left="567" w:right="567"/>
        <w:jc w:val="both"/>
        <w:textAlignment w:val="top"/>
        <w:rPr>
          <w:rFonts w:asciiTheme="minorHAnsi" w:hAnsiTheme="minorHAnsi" w:cstheme="minorHAnsi"/>
          <w:sz w:val="18"/>
          <w:szCs w:val="18"/>
        </w:rPr>
      </w:pPr>
      <w:r w:rsidRPr="003C7391">
        <w:rPr>
          <w:rFonts w:asciiTheme="minorHAnsi" w:hAnsiTheme="minorHAnsi" w:cstheme="minorHAnsi"/>
          <w:sz w:val="18"/>
          <w:szCs w:val="18"/>
        </w:rPr>
        <w:t>2 - A transição referida no número anterior é aplicável em dois períodos consecutivos, findos os quais a candidatura é indeferida.</w:t>
      </w:r>
    </w:p>
    <w:p w:rsidR="00884C70" w:rsidRPr="00ED0D35" w:rsidRDefault="00884C70" w:rsidP="00884C70">
      <w:pPr>
        <w:pStyle w:val="Textodenotaderodap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Na versão anterior, </w:t>
      </w:r>
      <w:r w:rsidRPr="00420F7F">
        <w:rPr>
          <w:rFonts w:cstheme="minorHAnsi"/>
          <w:sz w:val="18"/>
          <w:szCs w:val="18"/>
        </w:rPr>
        <w:t>introduzid</w:t>
      </w:r>
      <w:r>
        <w:rPr>
          <w:rFonts w:cstheme="minorHAnsi"/>
          <w:sz w:val="18"/>
          <w:szCs w:val="18"/>
        </w:rPr>
        <w:t>a</w:t>
      </w:r>
      <w:r w:rsidRPr="00420F7F">
        <w:rPr>
          <w:rFonts w:cstheme="minorHAnsi"/>
          <w:sz w:val="18"/>
          <w:szCs w:val="18"/>
        </w:rPr>
        <w:t xml:space="preserve"> pela Portaria n.º 249/2016, de 15 de setembro</w:t>
      </w:r>
      <w:r>
        <w:rPr>
          <w:rFonts w:cstheme="minorHAnsi"/>
          <w:sz w:val="18"/>
          <w:szCs w:val="18"/>
        </w:rPr>
        <w:t xml:space="preserve">, o n.º 1 apresentava a seguinte </w:t>
      </w:r>
      <w:r w:rsidRPr="00420F7F">
        <w:rPr>
          <w:rFonts w:cstheme="minorHAnsi"/>
          <w:sz w:val="18"/>
          <w:szCs w:val="18"/>
        </w:rPr>
        <w:t xml:space="preserve">redação: </w:t>
      </w:r>
      <w:r w:rsidRPr="003C7391">
        <w:rPr>
          <w:rFonts w:cstheme="minorHAnsi"/>
          <w:sz w:val="18"/>
          <w:szCs w:val="18"/>
        </w:rPr>
        <w:t>1 - As candidaturas que tenham obtido classificação igual ou superior à pontuação mínima necessária para seleção das operações e para as quais não tenha existido dotação orçamental, transitam para o período de apresentação de candidaturas seguinte, no qual são analisadas e hierarquizadas de acordo com os critérios de seleção desse novo período.</w:t>
      </w:r>
    </w:p>
    <w:p w:rsidR="00884C70" w:rsidRDefault="00884C70" w:rsidP="00884C70">
      <w:pPr>
        <w:pStyle w:val="Textodenotaderodap"/>
      </w:pPr>
      <w:r>
        <w:rPr>
          <w:rFonts w:cstheme="minorHAnsi"/>
          <w:sz w:val="18"/>
          <w:szCs w:val="18"/>
        </w:rPr>
        <w:t xml:space="preserve">Na versão original, o n.º 1 apresentava a seguinte </w:t>
      </w:r>
      <w:r w:rsidRPr="00420F7F">
        <w:rPr>
          <w:rFonts w:cstheme="minorHAnsi"/>
          <w:sz w:val="18"/>
          <w:szCs w:val="18"/>
        </w:rPr>
        <w:t>redação: 1 - As candidaturas que tenham sido objeto de parecer favorável e que não tenham sido aprovadas por razões de insuficiência orçamental transitam para o período de apresentação de candidaturas seguinte, sendo sujeitas à aplicação dos critérios de seleção deste novo período.</w:t>
      </w:r>
    </w:p>
  </w:footnote>
  <w:footnote w:id="26"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</w:pPr>
      <w:r w:rsidRPr="00615251">
        <w:rPr>
          <w:rStyle w:val="Refdenotaderodap"/>
          <w:sz w:val="18"/>
          <w:szCs w:val="18"/>
        </w:rPr>
        <w:footnoteRef/>
      </w:r>
      <w:r w:rsidRPr="00615251">
        <w:rPr>
          <w:sz w:val="18"/>
          <w:szCs w:val="18"/>
        </w:rPr>
        <w:t xml:space="preserve"> </w:t>
      </w:r>
      <w:r w:rsidRPr="00615251">
        <w:rPr>
          <w:rFonts w:eastAsia="Times New Roman" w:cstheme="minorHAnsi"/>
          <w:sz w:val="18"/>
          <w:szCs w:val="18"/>
          <w:lang w:eastAsia="pt-PT"/>
        </w:rPr>
        <w:t>Redação introduzida pela Portaria n.º 283/2017, de 25 de setembro. A redação original era: 3 - O IFAP, I. P., ou as entidades a quem este delegar poderes para o efeito, analisam os pedidos de pagamento referidos nos números anteriores e emitem parecer do qual resulta o montante a pagar ao beneficiário.</w:t>
      </w:r>
    </w:p>
  </w:footnote>
  <w:footnote w:id="27">
    <w:p w:rsidR="00884C70" w:rsidRPr="00851FFC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851FFC">
        <w:rPr>
          <w:rStyle w:val="Refdenotaderodap"/>
          <w:sz w:val="18"/>
          <w:szCs w:val="18"/>
        </w:rPr>
        <w:footnoteRef/>
      </w:r>
      <w:r w:rsidRPr="00851FFC">
        <w:rPr>
          <w:sz w:val="18"/>
          <w:szCs w:val="18"/>
        </w:rPr>
        <w:t xml:space="preserve"> </w:t>
      </w:r>
      <w:r w:rsidRPr="00851FFC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 A redação original era: 1 - O pagamento do prémio à instalação, deduzido do montante correspondente à majoração por ser membro de agrupamento ou organização de produtores reconhecido, é efetuado da seguinte forma:</w:t>
      </w:r>
    </w:p>
    <w:p w:rsidR="00884C70" w:rsidRPr="00851FFC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851FFC">
        <w:rPr>
          <w:rFonts w:eastAsia="Times New Roman" w:cstheme="minorHAnsi"/>
          <w:sz w:val="18"/>
          <w:szCs w:val="18"/>
          <w:lang w:eastAsia="pt-PT"/>
        </w:rPr>
        <w:t>a) 75 % do valor do prémio, após a data de aceitação da concessão do apoio;</w:t>
      </w:r>
    </w:p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</w:pPr>
      <w:r w:rsidRPr="00851FFC">
        <w:rPr>
          <w:rFonts w:eastAsia="Times New Roman" w:cstheme="minorHAnsi"/>
          <w:sz w:val="18"/>
          <w:szCs w:val="18"/>
          <w:lang w:eastAsia="pt-PT"/>
        </w:rPr>
        <w:t>b) 25 % do valor do prémio, após verificação do cumprimento dos investimentos e da boa execução do plano empresarial.</w:t>
      </w:r>
    </w:p>
  </w:footnote>
  <w:footnote w:id="28">
    <w:p w:rsidR="00884C70" w:rsidRPr="00851FFC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851FFC">
        <w:rPr>
          <w:rStyle w:val="Refdenotaderodap"/>
          <w:sz w:val="18"/>
          <w:szCs w:val="18"/>
        </w:rPr>
        <w:footnoteRef/>
      </w:r>
      <w:r w:rsidRPr="00851FFC">
        <w:rPr>
          <w:sz w:val="18"/>
          <w:szCs w:val="18"/>
        </w:rPr>
        <w:t xml:space="preserve"> </w:t>
      </w:r>
      <w:r w:rsidRPr="00851FFC">
        <w:rPr>
          <w:rFonts w:eastAsia="Times New Roman" w:cstheme="minorHAnsi"/>
          <w:sz w:val="18"/>
          <w:szCs w:val="18"/>
          <w:lang w:eastAsia="pt-PT"/>
        </w:rPr>
        <w:t>Revogado pela Portaria n.º 2/2017, de 2 de janeiro. A redação original era: 2 - O pagamento da majoração prevista no n.º 3 do artigo 7.º, no valor de (euro) 5.000, é efetuado após demonstração da adesão ao agrupamento ou organização de produtores reconhecido.</w:t>
      </w:r>
    </w:p>
    <w:p w:rsidR="00884C70" w:rsidRDefault="00884C70" w:rsidP="00884C70">
      <w:pPr>
        <w:pStyle w:val="Textodenotaderodap"/>
      </w:pPr>
    </w:p>
  </w:footnote>
  <w:footnote w:id="29">
    <w:p w:rsidR="00884C70" w:rsidRPr="00851FFC" w:rsidRDefault="00884C70" w:rsidP="00884C70">
      <w:pPr>
        <w:pStyle w:val="Textodenotaderodap"/>
        <w:rPr>
          <w:sz w:val="18"/>
          <w:szCs w:val="18"/>
        </w:rPr>
      </w:pPr>
      <w:r w:rsidRPr="00851FFC">
        <w:rPr>
          <w:rStyle w:val="Refdenotaderodap"/>
          <w:sz w:val="18"/>
          <w:szCs w:val="18"/>
        </w:rPr>
        <w:footnoteRef/>
      </w:r>
      <w:r w:rsidRPr="00851FFC">
        <w:rPr>
          <w:sz w:val="18"/>
          <w:szCs w:val="18"/>
        </w:rPr>
        <w:t xml:space="preserve"> </w:t>
      </w:r>
      <w:r w:rsidRPr="00851FFC">
        <w:rPr>
          <w:rFonts w:eastAsia="Times New Roman" w:cstheme="minorHAnsi"/>
          <w:sz w:val="18"/>
          <w:szCs w:val="18"/>
          <w:lang w:eastAsia="pt-PT"/>
        </w:rPr>
        <w:t>Redação introduzida pela Portaria n.º 2/2017, de 2 de janeiro.</w:t>
      </w:r>
    </w:p>
  </w:footnote>
  <w:footnote w:id="30">
    <w:p w:rsidR="00884C70" w:rsidRPr="00851FFC" w:rsidRDefault="00884C70" w:rsidP="00884C70">
      <w:pPr>
        <w:shd w:val="clear" w:color="auto" w:fill="FFFFFF"/>
        <w:spacing w:after="0" w:line="240" w:lineRule="auto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851FFC">
        <w:rPr>
          <w:rStyle w:val="Refdenotaderodap"/>
          <w:sz w:val="18"/>
          <w:szCs w:val="18"/>
        </w:rPr>
        <w:footnoteRef/>
      </w:r>
      <w:r w:rsidRPr="00851FFC">
        <w:rPr>
          <w:sz w:val="18"/>
          <w:szCs w:val="18"/>
        </w:rPr>
        <w:t xml:space="preserve"> </w:t>
      </w:r>
      <w:r w:rsidRPr="00851FFC">
        <w:rPr>
          <w:rFonts w:eastAsia="Times New Roman" w:cstheme="minorHAnsi"/>
          <w:sz w:val="18"/>
          <w:szCs w:val="18"/>
          <w:lang w:eastAsia="pt-PT"/>
        </w:rPr>
        <w:t xml:space="preserve">Revogado pela Portaria n.º 2/2017, de 2 de janeiro. A redação original era: </w:t>
      </w:r>
    </w:p>
    <w:p w:rsidR="00884C70" w:rsidRPr="00851FFC" w:rsidRDefault="00884C70" w:rsidP="00884C70">
      <w:pPr>
        <w:shd w:val="clear" w:color="auto" w:fill="FFFFFF"/>
        <w:spacing w:after="0" w:line="240" w:lineRule="auto"/>
        <w:jc w:val="center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851FFC">
        <w:rPr>
          <w:rFonts w:eastAsia="Times New Roman" w:cstheme="minorHAnsi"/>
          <w:sz w:val="18"/>
          <w:szCs w:val="18"/>
          <w:lang w:eastAsia="pt-PT"/>
        </w:rPr>
        <w:t>ANEXO I</w:t>
      </w:r>
    </w:p>
    <w:p w:rsidR="00884C70" w:rsidRPr="00851FFC" w:rsidRDefault="00884C70" w:rsidP="00884C70">
      <w:pPr>
        <w:shd w:val="clear" w:color="auto" w:fill="FFFFFF"/>
        <w:spacing w:after="0" w:line="240" w:lineRule="auto"/>
        <w:jc w:val="center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851FFC">
        <w:rPr>
          <w:rFonts w:eastAsia="Times New Roman" w:cstheme="minorHAnsi"/>
          <w:sz w:val="18"/>
          <w:szCs w:val="18"/>
          <w:lang w:eastAsia="pt-PT"/>
        </w:rPr>
        <w:t>Formação agrícola complementar</w:t>
      </w:r>
    </w:p>
    <w:p w:rsidR="00884C70" w:rsidRPr="00851FFC" w:rsidRDefault="00884C70" w:rsidP="00884C70">
      <w:pPr>
        <w:shd w:val="clear" w:color="auto" w:fill="FFFFFF"/>
        <w:spacing w:after="0" w:line="240" w:lineRule="auto"/>
        <w:jc w:val="center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851FFC">
        <w:rPr>
          <w:rFonts w:eastAsia="Times New Roman" w:cstheme="minorHAnsi"/>
          <w:sz w:val="18"/>
          <w:szCs w:val="18"/>
          <w:lang w:eastAsia="pt-PT"/>
        </w:rPr>
        <w:t>[a que se refere a alínea b) do n.º 3 do artigo 8.º]</w:t>
      </w:r>
    </w:p>
    <w:p w:rsidR="00884C70" w:rsidRPr="00851FFC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851FFC">
        <w:rPr>
          <w:rFonts w:eastAsia="Times New Roman" w:cstheme="minorHAnsi"/>
          <w:sz w:val="18"/>
          <w:szCs w:val="18"/>
          <w:lang w:eastAsia="pt-PT"/>
        </w:rPr>
        <w:t>A formação agrícola complementar segue a tipologia "formação-ação" prevista no Programa Operacional de Competitividade e Internacionalização 2014-2020, com duração mínima de 150 horas relativas às seguintes componentes:</w:t>
      </w:r>
    </w:p>
    <w:p w:rsidR="00884C70" w:rsidRPr="00851FFC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851FFC">
        <w:rPr>
          <w:rFonts w:eastAsia="Times New Roman" w:cstheme="minorHAnsi"/>
          <w:sz w:val="18"/>
          <w:szCs w:val="18"/>
          <w:lang w:eastAsia="pt-PT"/>
        </w:rPr>
        <w:t>a) Formação específica para a orientação produtiva;</w:t>
      </w:r>
    </w:p>
    <w:p w:rsidR="00884C70" w:rsidRPr="00851FFC" w:rsidRDefault="00884C70" w:rsidP="00884C70">
      <w:pPr>
        <w:shd w:val="clear" w:color="auto" w:fill="FFFFFF"/>
        <w:spacing w:after="0" w:line="240" w:lineRule="auto"/>
        <w:jc w:val="both"/>
        <w:textAlignment w:val="top"/>
        <w:rPr>
          <w:rFonts w:eastAsia="Times New Roman" w:cstheme="minorHAnsi"/>
          <w:sz w:val="18"/>
          <w:szCs w:val="18"/>
          <w:lang w:eastAsia="pt-PT"/>
        </w:rPr>
      </w:pPr>
      <w:r w:rsidRPr="00851FFC">
        <w:rPr>
          <w:rFonts w:eastAsia="Times New Roman" w:cstheme="minorHAnsi"/>
          <w:sz w:val="18"/>
          <w:szCs w:val="18"/>
          <w:lang w:eastAsia="pt-PT"/>
        </w:rPr>
        <w:t>b) Formação de gestão da empresa agrícola;</w:t>
      </w:r>
    </w:p>
    <w:p w:rsidR="00884C70" w:rsidRDefault="00884C70" w:rsidP="00884C70">
      <w:pPr>
        <w:shd w:val="clear" w:color="auto" w:fill="FFFFFF"/>
        <w:spacing w:after="0" w:line="240" w:lineRule="auto"/>
        <w:jc w:val="both"/>
        <w:textAlignment w:val="top"/>
      </w:pPr>
      <w:r w:rsidRPr="00851FFC">
        <w:rPr>
          <w:rFonts w:eastAsia="Times New Roman" w:cstheme="minorHAnsi"/>
          <w:sz w:val="18"/>
          <w:szCs w:val="18"/>
          <w:lang w:eastAsia="pt-PT"/>
        </w:rPr>
        <w:t>c) Componente prática em contexto empresarial.</w:t>
      </w:r>
    </w:p>
  </w:footnote>
  <w:footnote w:id="31">
    <w:p w:rsidR="00884C70" w:rsidRPr="005C5AD3" w:rsidRDefault="00884C70" w:rsidP="00884C70">
      <w:pPr>
        <w:pStyle w:val="Textodenotaderodap"/>
        <w:rPr>
          <w:sz w:val="18"/>
          <w:szCs w:val="18"/>
        </w:rPr>
      </w:pPr>
      <w:r w:rsidRPr="005C5AD3">
        <w:rPr>
          <w:rStyle w:val="Refdenotaderodap"/>
          <w:sz w:val="18"/>
          <w:szCs w:val="18"/>
        </w:rPr>
        <w:footnoteRef/>
      </w:r>
      <w:r w:rsidRPr="005C5AD3">
        <w:rPr>
          <w:sz w:val="18"/>
          <w:szCs w:val="18"/>
        </w:rPr>
        <w:t xml:space="preserve"> </w:t>
      </w:r>
      <w:r w:rsidRPr="005C5AD3">
        <w:rPr>
          <w:rFonts w:eastAsia="Times New Roman" w:cstheme="minorHAnsi"/>
          <w:sz w:val="18"/>
          <w:szCs w:val="18"/>
          <w:lang w:eastAsia="pt-PT"/>
        </w:rPr>
        <w:t xml:space="preserve">Revogado pela Portaria n.º </w:t>
      </w:r>
      <w:r>
        <w:rPr>
          <w:rFonts w:eastAsia="Times New Roman" w:cstheme="minorHAnsi"/>
          <w:sz w:val="18"/>
          <w:szCs w:val="18"/>
          <w:lang w:eastAsia="pt-PT"/>
        </w:rPr>
        <w:t>8</w:t>
      </w:r>
      <w:r w:rsidRPr="005C5AD3">
        <w:rPr>
          <w:rFonts w:eastAsia="Times New Roman" w:cstheme="minorHAnsi"/>
          <w:sz w:val="18"/>
          <w:szCs w:val="18"/>
          <w:lang w:eastAsia="pt-PT"/>
        </w:rPr>
        <w:t xml:space="preserve">/2018, de </w:t>
      </w:r>
      <w:r>
        <w:rPr>
          <w:rFonts w:eastAsia="Times New Roman" w:cstheme="minorHAnsi"/>
          <w:sz w:val="18"/>
          <w:szCs w:val="18"/>
          <w:lang w:eastAsia="pt-PT"/>
        </w:rPr>
        <w:t>5</w:t>
      </w:r>
      <w:r w:rsidRPr="005C5AD3">
        <w:rPr>
          <w:rFonts w:eastAsia="Times New Roman" w:cstheme="minorHAnsi"/>
          <w:sz w:val="18"/>
          <w:szCs w:val="18"/>
          <w:lang w:eastAsia="pt-PT"/>
        </w:rPr>
        <w:t xml:space="preserve"> de </w:t>
      </w:r>
      <w:r>
        <w:rPr>
          <w:rFonts w:eastAsia="Times New Roman" w:cstheme="minorHAnsi"/>
          <w:sz w:val="18"/>
          <w:szCs w:val="18"/>
          <w:lang w:eastAsia="pt-PT"/>
        </w:rPr>
        <w:t>jane</w:t>
      </w:r>
      <w:r w:rsidRPr="005C5AD3">
        <w:rPr>
          <w:rFonts w:eastAsia="Times New Roman" w:cstheme="minorHAnsi"/>
          <w:sz w:val="18"/>
          <w:szCs w:val="18"/>
          <w:lang w:eastAsia="pt-PT"/>
        </w:rPr>
        <w:t>iro. A redação original era:</w:t>
      </w:r>
    </w:p>
    <w:tbl>
      <w:tblPr>
        <w:tblStyle w:val="Tabelacomgrelha"/>
        <w:tblW w:w="8494" w:type="dxa"/>
        <w:tblLook w:val="04A0" w:firstRow="1" w:lastRow="0" w:firstColumn="1" w:lastColumn="0" w:noHBand="0" w:noVBand="1"/>
      </w:tblPr>
      <w:tblGrid>
        <w:gridCol w:w="2490"/>
        <w:gridCol w:w="1401"/>
        <w:gridCol w:w="1517"/>
        <w:gridCol w:w="1534"/>
        <w:gridCol w:w="1552"/>
      </w:tblGrid>
      <w:tr w:rsidR="00884C70" w:rsidRPr="005C5AD3" w:rsidTr="00BC20F2">
        <w:tc>
          <w:tcPr>
            <w:tcW w:w="3891" w:type="dxa"/>
            <w:gridSpan w:val="2"/>
          </w:tcPr>
          <w:p w:rsidR="00884C70" w:rsidRPr="005C5AD3" w:rsidRDefault="00884C70" w:rsidP="005C5AD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 xml:space="preserve">Cumprir o plano empresarial no prazo previsto na alínea </w:t>
            </w:r>
            <w:r w:rsidRPr="005C5AD3">
              <w:rPr>
                <w:rFonts w:cstheme="minorHAnsi"/>
                <w:i/>
                <w:iCs/>
                <w:sz w:val="18"/>
                <w:szCs w:val="18"/>
              </w:rPr>
              <w:t>f</w:t>
            </w:r>
            <w:r w:rsidRPr="005C5AD3">
              <w:rPr>
                <w:rFonts w:cstheme="minorHAnsi"/>
                <w:sz w:val="18"/>
                <w:szCs w:val="18"/>
              </w:rPr>
              <w:t>) do n.º 1 do artigo 5.º:</w:t>
            </w:r>
          </w:p>
        </w:tc>
        <w:tc>
          <w:tcPr>
            <w:tcW w:w="1517" w:type="dxa"/>
          </w:tcPr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Desvio tolerado</w:t>
            </w:r>
          </w:p>
        </w:tc>
        <w:tc>
          <w:tcPr>
            <w:tcW w:w="1534" w:type="dxa"/>
          </w:tcPr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Ponderação</w:t>
            </w:r>
          </w:p>
        </w:tc>
        <w:tc>
          <w:tcPr>
            <w:tcW w:w="1552" w:type="dxa"/>
            <w:tcBorders>
              <w:bottom w:val="nil"/>
            </w:tcBorders>
          </w:tcPr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 xml:space="preserve">Redução e exclusão </w:t>
            </w:r>
          </w:p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884C70" w:rsidRPr="005C5AD3" w:rsidTr="00BC20F2">
        <w:tc>
          <w:tcPr>
            <w:tcW w:w="2490" w:type="dxa"/>
            <w:vMerge w:val="restart"/>
            <w:tcBorders>
              <w:right w:val="single" w:sz="4" w:space="0" w:color="auto"/>
            </w:tcBorders>
          </w:tcPr>
          <w:p w:rsidR="00884C70" w:rsidRPr="005C5AD3" w:rsidRDefault="00884C70" w:rsidP="005C5AD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Cumprir etapas e metas para o desenvolvimento das atividades da exploração agrícola</w:t>
            </w:r>
          </w:p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 xml:space="preserve">(Subalínea </w:t>
            </w:r>
            <w:r w:rsidRPr="005C5AD3">
              <w:rPr>
                <w:rFonts w:cstheme="minorHAnsi"/>
                <w:i/>
                <w:iCs/>
                <w:sz w:val="18"/>
                <w:szCs w:val="18"/>
              </w:rPr>
              <w:t>iii</w:t>
            </w:r>
            <w:r w:rsidRPr="005C5AD3">
              <w:rPr>
                <w:rFonts w:cstheme="minorHAnsi"/>
                <w:sz w:val="18"/>
                <w:szCs w:val="18"/>
              </w:rPr>
              <w:t xml:space="preserve">) da alínea </w:t>
            </w:r>
            <w:r w:rsidRPr="005C5AD3">
              <w:rPr>
                <w:rFonts w:cstheme="minorHAnsi"/>
                <w:i/>
                <w:iCs/>
                <w:sz w:val="18"/>
                <w:szCs w:val="18"/>
              </w:rPr>
              <w:t>f</w:t>
            </w:r>
            <w:r w:rsidRPr="005C5AD3">
              <w:rPr>
                <w:rFonts w:cstheme="minorHAnsi"/>
                <w:sz w:val="18"/>
                <w:szCs w:val="18"/>
              </w:rPr>
              <w:t>) do n.º 1 do artigo 5.º)</w:t>
            </w: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884C70" w:rsidRPr="005C5AD3" w:rsidRDefault="00884C70" w:rsidP="005C5AD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Metas físicas (atividades que</w:t>
            </w:r>
          </w:p>
          <w:p w:rsidR="00884C70" w:rsidRPr="005C5AD3" w:rsidRDefault="00884C70" w:rsidP="005C5AD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visem a produção agrícola).</w:t>
            </w:r>
          </w:p>
        </w:tc>
        <w:tc>
          <w:tcPr>
            <w:tcW w:w="1517" w:type="dxa"/>
          </w:tcPr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10%</w:t>
            </w:r>
          </w:p>
        </w:tc>
        <w:tc>
          <w:tcPr>
            <w:tcW w:w="1534" w:type="dxa"/>
          </w:tcPr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50%</w:t>
            </w:r>
          </w:p>
        </w:tc>
        <w:tc>
          <w:tcPr>
            <w:tcW w:w="1552" w:type="dxa"/>
            <w:tcBorders>
              <w:bottom w:val="nil"/>
            </w:tcBorders>
          </w:tcPr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</w:p>
          <w:p w:rsidR="00884C70" w:rsidRPr="005C5AD3" w:rsidRDefault="00884C70" w:rsidP="005C5AD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— Redução proporcional do apoio ao grau de incumprimento detetado, caso seja inferior</w:t>
            </w:r>
          </w:p>
          <w:p w:rsidR="00884C70" w:rsidRPr="005C5AD3" w:rsidRDefault="00884C70" w:rsidP="005C5AD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ou igual a 50 %;</w:t>
            </w:r>
          </w:p>
          <w:p w:rsidR="00884C70" w:rsidRPr="005C5AD3" w:rsidRDefault="00884C70" w:rsidP="005C5AD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884C70" w:rsidRPr="005C5AD3" w:rsidTr="00BC20F2">
        <w:tc>
          <w:tcPr>
            <w:tcW w:w="2490" w:type="dxa"/>
            <w:vMerge/>
            <w:tcBorders>
              <w:right w:val="single" w:sz="4" w:space="0" w:color="auto"/>
            </w:tcBorders>
          </w:tcPr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1" w:type="dxa"/>
            <w:tcBorders>
              <w:left w:val="single" w:sz="4" w:space="0" w:color="auto"/>
            </w:tcBorders>
          </w:tcPr>
          <w:p w:rsidR="00884C70" w:rsidRPr="005C5AD3" w:rsidRDefault="00884C70" w:rsidP="005C5AD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Metas financeiras (Rentabilidade</w:t>
            </w:r>
          </w:p>
          <w:p w:rsidR="00884C70" w:rsidRPr="005C5AD3" w:rsidRDefault="00884C70" w:rsidP="005C5AD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da exploração).</w:t>
            </w:r>
          </w:p>
        </w:tc>
        <w:tc>
          <w:tcPr>
            <w:tcW w:w="1517" w:type="dxa"/>
          </w:tcPr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20%</w:t>
            </w:r>
          </w:p>
        </w:tc>
        <w:tc>
          <w:tcPr>
            <w:tcW w:w="1534" w:type="dxa"/>
          </w:tcPr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50%</w:t>
            </w:r>
          </w:p>
        </w:tc>
        <w:tc>
          <w:tcPr>
            <w:tcW w:w="1552" w:type="dxa"/>
            <w:tcBorders>
              <w:bottom w:val="nil"/>
            </w:tcBorders>
          </w:tcPr>
          <w:p w:rsidR="00884C70" w:rsidRPr="005C5AD3" w:rsidRDefault="00884C70" w:rsidP="005C5AD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— Devolução do apoio, caso o incumprimento</w:t>
            </w:r>
          </w:p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detetado seja superior a 50 %.</w:t>
            </w:r>
          </w:p>
        </w:tc>
      </w:tr>
    </w:tbl>
    <w:p w:rsidR="00884C70" w:rsidRPr="005C5AD3" w:rsidRDefault="00884C70" w:rsidP="00884C70">
      <w:pPr>
        <w:pStyle w:val="Textodenotaderodap"/>
        <w:rPr>
          <w:sz w:val="18"/>
          <w:szCs w:val="18"/>
        </w:rPr>
      </w:pPr>
    </w:p>
  </w:footnote>
  <w:footnote w:id="32">
    <w:p w:rsidR="00884C70" w:rsidRPr="00A83AFF" w:rsidRDefault="00884C70" w:rsidP="00884C70">
      <w:pPr>
        <w:pStyle w:val="Textodenotaderodap"/>
        <w:rPr>
          <w:sz w:val="18"/>
          <w:szCs w:val="18"/>
        </w:rPr>
      </w:pPr>
      <w:r w:rsidRPr="00A83AFF">
        <w:rPr>
          <w:rStyle w:val="Refdenotaderodap"/>
          <w:sz w:val="18"/>
          <w:szCs w:val="18"/>
        </w:rPr>
        <w:footnoteRef/>
      </w:r>
      <w:r w:rsidRPr="00A83AFF">
        <w:rPr>
          <w:sz w:val="18"/>
          <w:szCs w:val="18"/>
        </w:rPr>
        <w:t xml:space="preserve"> </w:t>
      </w:r>
      <w:r w:rsidRPr="00A83AFF">
        <w:rPr>
          <w:rFonts w:eastAsia="Times New Roman" w:cstheme="minorHAnsi"/>
          <w:sz w:val="18"/>
          <w:szCs w:val="18"/>
          <w:lang w:eastAsia="pt-PT"/>
        </w:rPr>
        <w:t xml:space="preserve">Revogado pela Portaria n.º </w:t>
      </w:r>
      <w:r>
        <w:rPr>
          <w:rFonts w:eastAsia="Times New Roman" w:cstheme="minorHAnsi"/>
          <w:sz w:val="18"/>
          <w:szCs w:val="18"/>
          <w:lang w:eastAsia="pt-PT"/>
        </w:rPr>
        <w:t>46</w:t>
      </w:r>
      <w:r w:rsidRPr="00A83AFF">
        <w:rPr>
          <w:rFonts w:eastAsia="Times New Roman" w:cstheme="minorHAnsi"/>
          <w:sz w:val="18"/>
          <w:szCs w:val="18"/>
          <w:lang w:eastAsia="pt-PT"/>
        </w:rPr>
        <w:t>/201</w:t>
      </w:r>
      <w:r>
        <w:rPr>
          <w:rFonts w:eastAsia="Times New Roman" w:cstheme="minorHAnsi"/>
          <w:sz w:val="18"/>
          <w:szCs w:val="18"/>
          <w:lang w:eastAsia="pt-PT"/>
        </w:rPr>
        <w:t>8</w:t>
      </w:r>
      <w:r w:rsidRPr="00A83AFF">
        <w:rPr>
          <w:rFonts w:eastAsia="Times New Roman" w:cstheme="minorHAnsi"/>
          <w:sz w:val="18"/>
          <w:szCs w:val="18"/>
          <w:lang w:eastAsia="pt-PT"/>
        </w:rPr>
        <w:t xml:space="preserve">, de </w:t>
      </w:r>
      <w:r>
        <w:rPr>
          <w:rFonts w:eastAsia="Times New Roman" w:cstheme="minorHAnsi"/>
          <w:sz w:val="18"/>
          <w:szCs w:val="18"/>
          <w:lang w:eastAsia="pt-PT"/>
        </w:rPr>
        <w:t>1</w:t>
      </w:r>
      <w:r w:rsidRPr="00A83AFF">
        <w:rPr>
          <w:rFonts w:eastAsia="Times New Roman" w:cstheme="minorHAnsi"/>
          <w:sz w:val="18"/>
          <w:szCs w:val="18"/>
          <w:lang w:eastAsia="pt-PT"/>
        </w:rPr>
        <w:t xml:space="preserve">2 de </w:t>
      </w:r>
      <w:r>
        <w:rPr>
          <w:rFonts w:eastAsia="Times New Roman" w:cstheme="minorHAnsi"/>
          <w:sz w:val="18"/>
          <w:szCs w:val="18"/>
          <w:lang w:eastAsia="pt-PT"/>
        </w:rPr>
        <w:t>fevereir</w:t>
      </w:r>
      <w:r w:rsidRPr="00A83AFF">
        <w:rPr>
          <w:rFonts w:eastAsia="Times New Roman" w:cstheme="minorHAnsi"/>
          <w:sz w:val="18"/>
          <w:szCs w:val="18"/>
          <w:lang w:eastAsia="pt-PT"/>
        </w:rPr>
        <w:t>o. A redação original era:</w:t>
      </w:r>
    </w:p>
    <w:tbl>
      <w:tblPr>
        <w:tblStyle w:val="Tabelacomgrelha"/>
        <w:tblW w:w="8494" w:type="dxa"/>
        <w:tblLook w:val="04A0" w:firstRow="1" w:lastRow="0" w:firstColumn="1" w:lastColumn="0" w:noHBand="0" w:noVBand="1"/>
      </w:tblPr>
      <w:tblGrid>
        <w:gridCol w:w="3891"/>
        <w:gridCol w:w="4603"/>
      </w:tblGrid>
      <w:tr w:rsidR="00884C70" w:rsidRPr="00A83AFF" w:rsidTr="00BC20F2">
        <w:tc>
          <w:tcPr>
            <w:tcW w:w="3891" w:type="dxa"/>
          </w:tcPr>
          <w:p w:rsidR="00884C70" w:rsidRPr="00A83AFF" w:rsidRDefault="00884C70" w:rsidP="00A83AFF">
            <w:pPr>
              <w:autoSpaceDE w:val="0"/>
              <w:autoSpaceDN w:val="0"/>
              <w:adjustRightInd w:val="0"/>
              <w:jc w:val="both"/>
              <w:rPr>
                <w:rFonts w:cstheme="minorHAnsi"/>
                <w:i/>
                <w:sz w:val="18"/>
                <w:szCs w:val="18"/>
              </w:rPr>
            </w:pPr>
            <w:r w:rsidRPr="00A83AFF">
              <w:rPr>
                <w:rFonts w:cstheme="minorHAnsi"/>
                <w:sz w:val="18"/>
                <w:szCs w:val="18"/>
              </w:rPr>
              <w:t>Adquirir a condição de agricultor ativo, no prazo de doze meses a contar da data de aceitação da concessão do apoio.</w:t>
            </w:r>
          </w:p>
        </w:tc>
        <w:tc>
          <w:tcPr>
            <w:tcW w:w="4603" w:type="dxa"/>
          </w:tcPr>
          <w:p w:rsidR="00884C70" w:rsidRPr="00A83AFF" w:rsidRDefault="00884C70" w:rsidP="00A83AFF">
            <w:pPr>
              <w:widowControl w:val="0"/>
              <w:jc w:val="both"/>
              <w:rPr>
                <w:rFonts w:cstheme="minorHAnsi"/>
                <w:i/>
                <w:sz w:val="18"/>
                <w:szCs w:val="18"/>
              </w:rPr>
            </w:pPr>
            <w:r w:rsidRPr="00A83AFF">
              <w:rPr>
                <w:rFonts w:cstheme="minorHAnsi"/>
                <w:sz w:val="18"/>
                <w:szCs w:val="18"/>
              </w:rPr>
              <w:t>Devolução do apoio.</w:t>
            </w:r>
          </w:p>
        </w:tc>
      </w:tr>
    </w:tbl>
    <w:p w:rsidR="00884C70" w:rsidRDefault="00884C70" w:rsidP="00884C70">
      <w:pPr>
        <w:pStyle w:val="Textodenotaderodap"/>
      </w:pPr>
    </w:p>
  </w:footnote>
  <w:footnote w:id="33">
    <w:p w:rsidR="00884C70" w:rsidRPr="005C5AD3" w:rsidRDefault="00884C70" w:rsidP="00884C70">
      <w:pPr>
        <w:pStyle w:val="Textodenotaderodap"/>
        <w:rPr>
          <w:sz w:val="18"/>
          <w:szCs w:val="18"/>
        </w:rPr>
      </w:pPr>
      <w:r w:rsidRPr="005C5AD3">
        <w:rPr>
          <w:rStyle w:val="Refdenotaderodap"/>
          <w:sz w:val="18"/>
          <w:szCs w:val="18"/>
        </w:rPr>
        <w:footnoteRef/>
      </w:r>
      <w:r w:rsidRPr="005C5AD3">
        <w:rPr>
          <w:sz w:val="18"/>
          <w:szCs w:val="18"/>
        </w:rPr>
        <w:t xml:space="preserve"> Revogado pela Portaria n.º 2/2017, de 2 de janeiro. A redação original era:</w:t>
      </w:r>
    </w:p>
    <w:tbl>
      <w:tblPr>
        <w:tblStyle w:val="Tabelacomgrelha"/>
        <w:tblW w:w="8494" w:type="dxa"/>
        <w:tblLook w:val="04A0" w:firstRow="1" w:lastRow="0" w:firstColumn="1" w:lastColumn="0" w:noHBand="0" w:noVBand="1"/>
      </w:tblPr>
      <w:tblGrid>
        <w:gridCol w:w="3891"/>
        <w:gridCol w:w="4603"/>
      </w:tblGrid>
      <w:tr w:rsidR="00884C70" w:rsidRPr="005C5AD3" w:rsidTr="00BC20F2">
        <w:tc>
          <w:tcPr>
            <w:tcW w:w="3891" w:type="dxa"/>
          </w:tcPr>
          <w:p w:rsidR="00884C70" w:rsidRPr="005C5AD3" w:rsidRDefault="00884C70" w:rsidP="005C5AD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Conservar os documentos relativos à execução do plano empresarial sob a forma de documentos originais ou de cópias autenticadas, em suporte digital, quando legalmente admissível, ou em papel, durante o período da sua duração.</w:t>
            </w:r>
          </w:p>
        </w:tc>
        <w:tc>
          <w:tcPr>
            <w:tcW w:w="4603" w:type="dxa"/>
          </w:tcPr>
          <w:p w:rsidR="00884C70" w:rsidRPr="005C5AD3" w:rsidRDefault="00884C70" w:rsidP="005C5AD3">
            <w:pPr>
              <w:widowControl w:val="0"/>
              <w:jc w:val="both"/>
              <w:rPr>
                <w:rFonts w:cstheme="minorHAnsi"/>
                <w:sz w:val="18"/>
                <w:szCs w:val="18"/>
              </w:rPr>
            </w:pPr>
            <w:r w:rsidRPr="005C5AD3">
              <w:rPr>
                <w:rFonts w:cstheme="minorHAnsi"/>
                <w:sz w:val="18"/>
                <w:szCs w:val="18"/>
              </w:rPr>
              <w:t>Redução do apoio, numa percentagem de 2 % a 100 %.</w:t>
            </w:r>
          </w:p>
        </w:tc>
      </w:tr>
    </w:tbl>
    <w:p w:rsidR="00884C70" w:rsidRDefault="00884C70" w:rsidP="00884C70">
      <w:pPr>
        <w:pStyle w:val="Textodenotaderodap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C70"/>
    <w:rsid w:val="00143CDB"/>
    <w:rsid w:val="001D4BBE"/>
    <w:rsid w:val="00224D86"/>
    <w:rsid w:val="00567F1E"/>
    <w:rsid w:val="007637B0"/>
    <w:rsid w:val="00884C70"/>
    <w:rsid w:val="009029F4"/>
    <w:rsid w:val="00963484"/>
    <w:rsid w:val="00A15F34"/>
    <w:rsid w:val="00AE03FD"/>
    <w:rsid w:val="00E515E1"/>
    <w:rsid w:val="00FD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A1653B-DF2D-47F8-B76B-4ABADF27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C7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84C7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884C70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884C70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884C70"/>
    <w:rPr>
      <w:vertAlign w:val="superscript"/>
    </w:rPr>
  </w:style>
  <w:style w:type="table" w:styleId="Tabelacomgrelha">
    <w:name w:val="Table Grid"/>
    <w:basedOn w:val="Tabelanormal"/>
    <w:uiPriority w:val="39"/>
    <w:rsid w:val="00884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884C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84C70"/>
  </w:style>
  <w:style w:type="paragraph" w:styleId="Rodap">
    <w:name w:val="footer"/>
    <w:basedOn w:val="Normal"/>
    <w:link w:val="RodapCarter"/>
    <w:uiPriority w:val="99"/>
    <w:unhideWhenUsed/>
    <w:rsid w:val="00884C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84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e.pt/application/external/eurolex?17R2393" TargetMode="External"/><Relationship Id="rId13" Type="http://schemas.openxmlformats.org/officeDocument/2006/relationships/hyperlink" Target="https://dre.pt/application/external/eurolex?14R0809" TargetMode="External"/><Relationship Id="rId18" Type="http://schemas.openxmlformats.org/officeDocument/2006/relationships/hyperlink" Target="https://dre.pt/application/external/eurolex?14R064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re.pt/application/external/eurolex?14R0640" TargetMode="External"/><Relationship Id="rId7" Type="http://schemas.openxmlformats.org/officeDocument/2006/relationships/hyperlink" Target="https://dre.pt/application/external/eurolex?13R1307" TargetMode="External"/><Relationship Id="rId12" Type="http://schemas.openxmlformats.org/officeDocument/2006/relationships/hyperlink" Target="https://dre.pt/application/external/eurolex?14R0640" TargetMode="External"/><Relationship Id="rId17" Type="http://schemas.openxmlformats.org/officeDocument/2006/relationships/hyperlink" Target="https://dre.pt/application/external/eurolex?14R0809" TargetMode="External"/><Relationship Id="rId2" Type="http://schemas.openxmlformats.org/officeDocument/2006/relationships/styles" Target="styles.xml"/><Relationship Id="rId16" Type="http://schemas.openxmlformats.org/officeDocument/2006/relationships/hyperlink" Target="https://dre.pt/application/external/eurolex?14R0809" TargetMode="External"/><Relationship Id="rId20" Type="http://schemas.openxmlformats.org/officeDocument/2006/relationships/hyperlink" Target="https://dre.pt/application/external/eurolex?14R064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dre.pt/application/external/eurolex?13R1306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dre.pt/application/external/eurolex?14R064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re.pt/application/external/eurolex?03H0361" TargetMode="External"/><Relationship Id="rId19" Type="http://schemas.openxmlformats.org/officeDocument/2006/relationships/hyperlink" Target="https://dre.pt/application/external/eurolex?13R13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external/eurolex?13R1379" TargetMode="External"/><Relationship Id="rId14" Type="http://schemas.openxmlformats.org/officeDocument/2006/relationships/hyperlink" Target="https://dre.pt/application/external/eurolex?13R1306" TargetMode="External"/><Relationship Id="rId22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re.pt/application/external/eurolex?13R1307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4DBD2-5272-4664-8857-CD524F30B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4745</Words>
  <Characters>25626</Characters>
  <Application>Microsoft Office Word</Application>
  <DocSecurity>0</DocSecurity>
  <Lines>213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Alexandre Sousa</dc:creator>
  <cp:keywords/>
  <dc:description/>
  <cp:lastModifiedBy>Pedro Mota</cp:lastModifiedBy>
  <cp:revision>2</cp:revision>
  <dcterms:created xsi:type="dcterms:W3CDTF">2019-03-26T12:13:00Z</dcterms:created>
  <dcterms:modified xsi:type="dcterms:W3CDTF">2019-03-26T12:13:00Z</dcterms:modified>
</cp:coreProperties>
</file>