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70146">
        <w:rPr>
          <w:rFonts w:ascii="Arial" w:hAnsi="Arial" w:cs="Arial"/>
          <w:b/>
          <w:u w:val="single"/>
        </w:rPr>
        <w:t>INSTRUÇÕES DE PREENCHIMENTO DO CADERNO DE CAMPO</w:t>
      </w:r>
    </w:p>
    <w:p w:rsidR="00914E16" w:rsidRPr="00B70146" w:rsidRDefault="00914E16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 xml:space="preserve">O caderno de campo, quando manuscrito, deve ser preenchido em </w:t>
      </w:r>
      <w:r w:rsidRPr="00B70146">
        <w:rPr>
          <w:rFonts w:ascii="Arial" w:eastAsia="Calibri" w:hAnsi="Arial" w:cs="Arial"/>
          <w:b/>
          <w:sz w:val="20"/>
          <w:szCs w:val="20"/>
        </w:rPr>
        <w:t>MAIÚSCULAS</w:t>
      </w:r>
      <w:r w:rsidRPr="00B70146">
        <w:rPr>
          <w:rFonts w:ascii="Arial" w:eastAsia="Calibri" w:hAnsi="Arial" w:cs="Arial"/>
          <w:sz w:val="20"/>
          <w:szCs w:val="20"/>
        </w:rPr>
        <w:t xml:space="preserve"> para ser mais facilmente legível. Em alternativa, pode ser preenchido em sup</w:t>
      </w:r>
      <w:bookmarkStart w:id="0" w:name="_GoBack"/>
      <w:bookmarkEnd w:id="0"/>
      <w:r w:rsidRPr="00B70146">
        <w:rPr>
          <w:rFonts w:ascii="Arial" w:eastAsia="Calibri" w:hAnsi="Arial" w:cs="Arial"/>
          <w:sz w:val="20"/>
          <w:szCs w:val="20"/>
        </w:rPr>
        <w:t>orte informático.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As visitas dos técnicos, quer no âmbito do controlo, quer no âmbito da assistência técnica à exploração, devem ficar registadas e rubricadas no caderno de campo.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 xml:space="preserve">O caderno de campo é constituído por folhas intituladas </w:t>
      </w:r>
      <w:proofErr w:type="gramStart"/>
      <w:r w:rsidRPr="00B70146">
        <w:rPr>
          <w:rFonts w:ascii="Arial" w:eastAsia="Calibri" w:hAnsi="Arial" w:cs="Arial"/>
          <w:sz w:val="20"/>
          <w:szCs w:val="20"/>
        </w:rPr>
        <w:t>por</w:t>
      </w:r>
      <w:proofErr w:type="gramEnd"/>
      <w:r w:rsidRPr="00B70146">
        <w:rPr>
          <w:rFonts w:ascii="Arial" w:eastAsia="Calibri" w:hAnsi="Arial" w:cs="Arial"/>
          <w:sz w:val="20"/>
          <w:szCs w:val="20"/>
        </w:rPr>
        <w:t>:</w:t>
      </w:r>
    </w:p>
    <w:p w:rsidR="006D00A4" w:rsidRPr="00B70146" w:rsidRDefault="006D00A4" w:rsidP="00B70146">
      <w:pPr>
        <w:numPr>
          <w:ilvl w:val="0"/>
          <w:numId w:val="8"/>
        </w:numPr>
        <w:tabs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>Folha 1 – Identificação do Beneficiário;</w:t>
      </w:r>
    </w:p>
    <w:p w:rsidR="006D00A4" w:rsidRPr="00B70146" w:rsidRDefault="006D00A4" w:rsidP="00B70146">
      <w:pPr>
        <w:numPr>
          <w:ilvl w:val="0"/>
          <w:numId w:val="8"/>
        </w:numPr>
        <w:tabs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>Folha 2 - Caracterização/Planificação da área sob compromisso da exploração;</w:t>
      </w:r>
    </w:p>
    <w:p w:rsidR="006D00A4" w:rsidRPr="00B70146" w:rsidRDefault="006D00A4" w:rsidP="00B70146">
      <w:pPr>
        <w:numPr>
          <w:ilvl w:val="0"/>
          <w:numId w:val="8"/>
        </w:numPr>
        <w:tabs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>Folha 3 - Caracterização do Efetivo Pecuário sob compromisso na exploração;</w:t>
      </w:r>
    </w:p>
    <w:p w:rsidR="006D00A4" w:rsidRPr="00B70146" w:rsidRDefault="006D00A4" w:rsidP="00B70146">
      <w:pPr>
        <w:numPr>
          <w:ilvl w:val="0"/>
          <w:numId w:val="8"/>
        </w:numPr>
        <w:tabs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>Folhas 4 e 5 - Registos da Componente Vegetal;</w:t>
      </w:r>
    </w:p>
    <w:p w:rsidR="006D00A4" w:rsidRPr="00B70146" w:rsidRDefault="006D00A4" w:rsidP="00B70146">
      <w:pPr>
        <w:numPr>
          <w:ilvl w:val="0"/>
          <w:numId w:val="8"/>
        </w:numPr>
        <w:tabs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>Folha 5 e 6 - Registos da Componente Animal;</w:t>
      </w:r>
    </w:p>
    <w:p w:rsidR="006D00A4" w:rsidRPr="00B70146" w:rsidRDefault="006D00A4" w:rsidP="00B70146">
      <w:pPr>
        <w:numPr>
          <w:ilvl w:val="0"/>
          <w:numId w:val="8"/>
        </w:numPr>
        <w:tabs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>Anexo I – Registo de Aquisições/Entradas;</w:t>
      </w:r>
    </w:p>
    <w:p w:rsidR="006D00A4" w:rsidRPr="00B70146" w:rsidRDefault="006D00A4" w:rsidP="00B70146">
      <w:pPr>
        <w:numPr>
          <w:ilvl w:val="0"/>
          <w:numId w:val="8"/>
        </w:numPr>
        <w:tabs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>Anexo II- Plano de Fertilização;</w:t>
      </w:r>
    </w:p>
    <w:p w:rsidR="006D00A4" w:rsidRPr="00B70146" w:rsidRDefault="006D00A4" w:rsidP="00B70146">
      <w:pPr>
        <w:numPr>
          <w:ilvl w:val="0"/>
          <w:numId w:val="8"/>
        </w:numPr>
        <w:tabs>
          <w:tab w:val="left" w:pos="851"/>
          <w:tab w:val="left" w:pos="993"/>
        </w:tabs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>Anexo III - Plano de Boas Práticas de Higiene;</w:t>
      </w:r>
    </w:p>
    <w:p w:rsidR="006D00A4" w:rsidRPr="00B70146" w:rsidRDefault="006D00A4" w:rsidP="00B70146">
      <w:pPr>
        <w:numPr>
          <w:ilvl w:val="0"/>
          <w:numId w:val="8"/>
        </w:numPr>
        <w:tabs>
          <w:tab w:val="left" w:pos="851"/>
        </w:tabs>
        <w:spacing w:after="120" w:line="36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>Anexo IV - Plano de</w:t>
      </w:r>
      <w:r w:rsidRPr="00B70146">
        <w:rPr>
          <w:rFonts w:ascii="Arial" w:eastAsia="Calibri" w:hAnsi="Arial" w:cs="Arial"/>
          <w:sz w:val="20"/>
          <w:szCs w:val="20"/>
        </w:rPr>
        <w:t xml:space="preserve"> Reprodução;</w:t>
      </w:r>
    </w:p>
    <w:p w:rsidR="006D00A4" w:rsidRPr="00B70146" w:rsidRDefault="006D00A4" w:rsidP="00B70146">
      <w:pPr>
        <w:numPr>
          <w:ilvl w:val="0"/>
          <w:numId w:val="8"/>
        </w:numPr>
        <w:tabs>
          <w:tab w:val="left" w:pos="851"/>
        </w:tabs>
        <w:spacing w:after="120" w:line="36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Anexo V - Calendário de Rega.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As folhas do caderno de campo podem ser multiplicadas de acordo com as necessidades de registo.</w:t>
      </w:r>
    </w:p>
    <w:p w:rsidR="006D00A4" w:rsidRPr="00B70146" w:rsidRDefault="006D00A4" w:rsidP="00B70146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70146">
        <w:rPr>
          <w:rFonts w:ascii="Arial" w:eastAsia="Calibri" w:hAnsi="Arial" w:cs="Arial"/>
          <w:b/>
          <w:sz w:val="20"/>
          <w:szCs w:val="20"/>
          <w:u w:val="single"/>
        </w:rPr>
        <w:t>FOLHA 1 – IDENTIFICAÇÃO DO BENEFICIÁRIO</w:t>
      </w:r>
    </w:p>
    <w:p w:rsidR="006D00A4" w:rsidRPr="00B70146" w:rsidRDefault="006D00A4" w:rsidP="00B70146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Para preenchimento dos dados do beneficiário: identificação, localização da exploração; modo de produção praticado e identificação do OC.</w:t>
      </w:r>
    </w:p>
    <w:p w:rsidR="006D00A4" w:rsidRPr="00B70146" w:rsidRDefault="006D00A4" w:rsidP="00B70146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Para os beneficiários da ação 7.5.1 “Uso Eficiente da Água”</w:t>
      </w:r>
      <w:r w:rsidRPr="00B70146">
        <w:t xml:space="preserve"> </w:t>
      </w:r>
      <w:r w:rsidRPr="00B70146">
        <w:rPr>
          <w:rFonts w:ascii="Arial" w:eastAsia="Calibri" w:hAnsi="Arial" w:cs="Arial"/>
          <w:sz w:val="20"/>
          <w:szCs w:val="20"/>
        </w:rPr>
        <w:t>para além do preenchimento dos dados do beneficiário: identificação, localização da exploração deve ser preenchida a informação relativa à classe de regante e identificação da ERR.</w:t>
      </w:r>
    </w:p>
    <w:p w:rsidR="006D00A4" w:rsidRPr="00B70146" w:rsidRDefault="006D00A4" w:rsidP="00B70146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70146">
        <w:rPr>
          <w:rFonts w:ascii="Arial" w:eastAsia="Calibri" w:hAnsi="Arial" w:cs="Arial"/>
          <w:b/>
          <w:sz w:val="20"/>
          <w:szCs w:val="20"/>
          <w:u w:val="single"/>
        </w:rPr>
        <w:t>FOLHA 2 - CARACTERIZAÇÃO/PLANIFICAÇÃO DA ÁREA SOB COMPROMISSO DA EXPLORAÇÃO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 xml:space="preserve">Os registos da componente vegetal são efetuados por zonas homogéneas. A </w:t>
      </w:r>
      <w:r w:rsidRPr="00B70146">
        <w:rPr>
          <w:rFonts w:ascii="Arial" w:eastAsia="Calibri" w:hAnsi="Arial" w:cs="Arial"/>
          <w:b/>
          <w:sz w:val="20"/>
          <w:szCs w:val="20"/>
        </w:rPr>
        <w:t>Zona Homogénea</w:t>
      </w:r>
      <w:r w:rsidRPr="00B70146">
        <w:rPr>
          <w:rFonts w:ascii="Arial" w:eastAsia="Calibri" w:hAnsi="Arial" w:cs="Arial"/>
          <w:sz w:val="20"/>
          <w:szCs w:val="20"/>
        </w:rPr>
        <w:t xml:space="preserve"> tanto pode corresponder a parte de uma parcela, como a mais do que uma parcela. Tanto quanto possível deve ser delimitada com base:</w:t>
      </w:r>
    </w:p>
    <w:p w:rsidR="006D00A4" w:rsidRPr="00B70146" w:rsidRDefault="006D00A4" w:rsidP="00B70146">
      <w:pPr>
        <w:numPr>
          <w:ilvl w:val="2"/>
          <w:numId w:val="15"/>
        </w:numPr>
        <w:autoSpaceDE w:val="0"/>
        <w:autoSpaceDN w:val="0"/>
        <w:adjustRightInd w:val="0"/>
        <w:spacing w:after="120" w:line="360" w:lineRule="auto"/>
        <w:ind w:left="908" w:hanging="284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lastRenderedPageBreak/>
        <w:t xml:space="preserve">No caso das </w:t>
      </w:r>
      <w:r w:rsidRPr="00B70146">
        <w:rPr>
          <w:rFonts w:ascii="Arial" w:eastAsia="Calibri" w:hAnsi="Arial" w:cs="Arial"/>
          <w:b/>
          <w:sz w:val="20"/>
          <w:szCs w:val="20"/>
        </w:rPr>
        <w:t>culturas arbóreas e arbustivas</w:t>
      </w:r>
      <w:r w:rsidRPr="00B70146">
        <w:rPr>
          <w:rFonts w:ascii="Arial" w:eastAsia="Calibri" w:hAnsi="Arial" w:cs="Arial"/>
          <w:sz w:val="20"/>
          <w:szCs w:val="20"/>
        </w:rPr>
        <w:t>, no conjunto de parcelas/subparcelas, compreendendo as mesmas características dominantes quanto à natureza do solo, à topografia e exposição, à idade plantas e às práticas culturais;</w:t>
      </w:r>
    </w:p>
    <w:p w:rsidR="006D00A4" w:rsidRPr="00B70146" w:rsidRDefault="006D00A4" w:rsidP="00B70146">
      <w:pPr>
        <w:numPr>
          <w:ilvl w:val="2"/>
          <w:numId w:val="15"/>
        </w:numPr>
        <w:autoSpaceDE w:val="0"/>
        <w:autoSpaceDN w:val="0"/>
        <w:adjustRightInd w:val="0"/>
        <w:spacing w:after="120" w:line="360" w:lineRule="auto"/>
        <w:ind w:left="908" w:hanging="284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 xml:space="preserve">No caso das </w:t>
      </w:r>
      <w:r w:rsidRPr="00B70146">
        <w:rPr>
          <w:rFonts w:ascii="Arial" w:eastAsia="Calibri" w:hAnsi="Arial" w:cs="Arial"/>
          <w:b/>
          <w:sz w:val="20"/>
          <w:szCs w:val="20"/>
        </w:rPr>
        <w:t>culturas anuais</w:t>
      </w:r>
      <w:r w:rsidRPr="00B70146">
        <w:rPr>
          <w:rFonts w:ascii="Arial" w:eastAsia="Calibri" w:hAnsi="Arial" w:cs="Arial"/>
          <w:sz w:val="20"/>
          <w:szCs w:val="20"/>
        </w:rPr>
        <w:t>, no conjunto das parcelas/subparcelas, compreendendo as mesmas características dominantes quanto à natureza do solo, à topografia, ao passado cultural e às práticas culturais.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Por exemplo, uma mesma zona homogénea, para efeitos de registo no presente caderno decampo,</w:t>
      </w:r>
    </w:p>
    <w:p w:rsidR="006D00A4" w:rsidRPr="00B70146" w:rsidRDefault="006D00A4" w:rsidP="00B70146">
      <w:pPr>
        <w:numPr>
          <w:ilvl w:val="0"/>
          <w:numId w:val="9"/>
        </w:numPr>
        <w:tabs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>Não deve contemplar conjuntamente área em conversão e área em produção biológica;</w:t>
      </w:r>
    </w:p>
    <w:p w:rsidR="006D00A4" w:rsidRPr="00B70146" w:rsidRDefault="006D00A4" w:rsidP="00B70146">
      <w:pPr>
        <w:numPr>
          <w:ilvl w:val="0"/>
          <w:numId w:val="9"/>
        </w:numPr>
        <w:tabs>
          <w:tab w:val="left" w:pos="851"/>
        </w:tabs>
        <w:spacing w:after="120" w:line="36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>Pode incluir uma vinha com várias castas, desde que as outras características dominantes sejam uniformes</w:t>
      </w:r>
      <w:r w:rsidRPr="00B70146">
        <w:rPr>
          <w:rFonts w:ascii="Arial" w:eastAsia="Calibri" w:hAnsi="Arial" w:cs="Arial"/>
          <w:sz w:val="20"/>
          <w:szCs w:val="20"/>
        </w:rPr>
        <w:t xml:space="preserve"> e a finalidade da produção seja a mesma (uva para vinho ou uva de mesa).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Cada zona homogénea deve ser identificada na coluna “Zona homogénea” por letras maiúsculas de forma sequencial, as quais devem ser utilizadas também nas folhas seguintes.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A numeração sequencial das parcelas deve seguir, sempre que possível, a numeração efetuada no âmbito do Pedido Único (PU) e deve manter-se, sempre que possível, essa numeração durante o período do compromisso.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 xml:space="preserve">As notas (1) </w:t>
      </w:r>
      <w:proofErr w:type="gramStart"/>
      <w:r w:rsidRPr="00B70146">
        <w:rPr>
          <w:rFonts w:ascii="Arial" w:eastAsia="Calibri" w:hAnsi="Arial" w:cs="Arial"/>
          <w:sz w:val="20"/>
          <w:szCs w:val="20"/>
        </w:rPr>
        <w:t>a (</w:t>
      </w:r>
      <w:r w:rsidR="00F14D38" w:rsidRPr="00B70146">
        <w:rPr>
          <w:rFonts w:ascii="Arial" w:eastAsia="Calibri" w:hAnsi="Arial" w:cs="Arial"/>
          <w:sz w:val="20"/>
          <w:szCs w:val="20"/>
        </w:rPr>
        <w:t>8</w:t>
      </w:r>
      <w:r w:rsidRPr="00B70146">
        <w:rPr>
          <w:rFonts w:ascii="Arial" w:eastAsia="Calibri" w:hAnsi="Arial" w:cs="Arial"/>
          <w:sz w:val="20"/>
          <w:szCs w:val="20"/>
        </w:rPr>
        <w:t>) ao</w:t>
      </w:r>
      <w:proofErr w:type="gramEnd"/>
      <w:r w:rsidRPr="00B70146">
        <w:rPr>
          <w:rFonts w:ascii="Arial" w:eastAsia="Calibri" w:hAnsi="Arial" w:cs="Arial"/>
          <w:sz w:val="20"/>
          <w:szCs w:val="20"/>
        </w:rPr>
        <w:t xml:space="preserve"> quadro “Caracterização/planificação da área sob compromisso da exploração” fornecem outros esclarecimentos para o seu preenchimento.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70146">
        <w:rPr>
          <w:rFonts w:ascii="Arial" w:eastAsia="Calibri" w:hAnsi="Arial" w:cs="Arial"/>
          <w:b/>
          <w:sz w:val="20"/>
          <w:szCs w:val="20"/>
          <w:u w:val="single"/>
        </w:rPr>
        <w:t>FOLHA 3 - CARACTERIZAÇÃO DO EFECTIVO PECUÁRIO SOB COMPROMISSO NA EXPLORAÇÃO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 xml:space="preserve">Os registos da componente animal são efetuados por grupos homogéneos. O </w:t>
      </w:r>
      <w:r w:rsidRPr="00B70146">
        <w:rPr>
          <w:rFonts w:ascii="Arial" w:eastAsia="Calibri" w:hAnsi="Arial" w:cs="Arial"/>
          <w:b/>
          <w:sz w:val="20"/>
          <w:szCs w:val="20"/>
        </w:rPr>
        <w:t>Grupo Homogéneo</w:t>
      </w:r>
      <w:r w:rsidRPr="00B70146">
        <w:rPr>
          <w:rFonts w:ascii="Arial" w:eastAsia="Calibri" w:hAnsi="Arial" w:cs="Arial"/>
          <w:sz w:val="20"/>
          <w:szCs w:val="20"/>
        </w:rPr>
        <w:t xml:space="preserve"> deve ser delimitado com base:</w:t>
      </w:r>
    </w:p>
    <w:p w:rsidR="006D00A4" w:rsidRPr="00B70146" w:rsidRDefault="006D00A4" w:rsidP="00B70146">
      <w:pPr>
        <w:numPr>
          <w:ilvl w:val="2"/>
          <w:numId w:val="16"/>
        </w:numPr>
        <w:autoSpaceDE w:val="0"/>
        <w:autoSpaceDN w:val="0"/>
        <w:adjustRightInd w:val="0"/>
        <w:spacing w:after="120" w:line="36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Grupo de animais existentes na exploração com características semelhantes de espécie e raça, cujo maneio é efetuado em termos de lote.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Quando o efetivo seja inferior ou igual a 10 cabeças normais (CN), o grupo homogéneo pode ser delimitado apenas pela espécie, independentemente da raça.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 xml:space="preserve">Quando o efetivo seja inferior ou igual a 10 cabeças normais (CN) e constituído por pequenos ruminantes, havendo duas espécies e sendo uma </w:t>
      </w:r>
      <w:proofErr w:type="gramStart"/>
      <w:r w:rsidRPr="00B70146">
        <w:rPr>
          <w:rFonts w:ascii="Arial" w:eastAsia="Calibri" w:hAnsi="Arial" w:cs="Arial"/>
          <w:sz w:val="20"/>
          <w:szCs w:val="20"/>
        </w:rPr>
        <w:t>delas inferior</w:t>
      </w:r>
      <w:proofErr w:type="gramEnd"/>
      <w:r w:rsidRPr="00B70146">
        <w:rPr>
          <w:rFonts w:ascii="Arial" w:eastAsia="Calibri" w:hAnsi="Arial" w:cs="Arial"/>
          <w:sz w:val="20"/>
          <w:szCs w:val="20"/>
        </w:rPr>
        <w:t xml:space="preserve"> a uma proporção de 25% do efetivo total, pode ser considerado grupo homogéneo neste caderno de campo.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Por exemplo, num mesmo grupo homogéneo não podem coexistir animais em conversão e animais em produção biológica.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Cada grupo homogéneo deve ser identificado na coluna “Grupo homogéneo”, através da atribuição de maiúsculas de forma sequencial, a qual deve ser utilizada no preenchimento dos quadros seguintes.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As notas (1) e (2) ao quadro “Caracterização do efetivo pecuário sob compromisso na exploração” fornecem outros esclarecimentos para o seu preenchimento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70146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FOLHA 4 E 5 - REGISTOS DA COMPONENTE VEGETAL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Qualquer intervenção na cultura, incluindo o solo e a envolvente diretamente relacionada, deve ser registada na coluna respetiva, sendo também importante o registo da sua justificação (coluna “Justificação da intervenção” ou coluna “Estimativa do risco”).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 xml:space="preserve">As dotações de rega devem ser justificadas tendo por base, por exemplo, o balanço hídrico, os Avisos de Rega ou um sistema de controlo das necessidades de rega (ex.: tensiómetro). De qualquer forma, </w:t>
      </w:r>
      <w:r w:rsidRPr="00B70146">
        <w:rPr>
          <w:rFonts w:ascii="Arial" w:eastAsia="Calibri" w:hAnsi="Arial" w:cs="Arial"/>
          <w:b/>
          <w:sz w:val="20"/>
          <w:szCs w:val="20"/>
        </w:rPr>
        <w:t>as dotações de rega devem ter em conta a evapotranspiração da cultura (ETc) e nunca deverão exceder a capacidade utilizável (RU) do solo</w:t>
      </w:r>
      <w:r w:rsidRPr="00B70146">
        <w:rPr>
          <w:rFonts w:ascii="Arial" w:eastAsia="Calibri" w:hAnsi="Arial" w:cs="Arial"/>
          <w:sz w:val="20"/>
          <w:szCs w:val="20"/>
        </w:rPr>
        <w:t>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Para cada registo existem três linhas, sendo a primeira destinada à descrição da operação, a segunda normalmente para quantificações e a terceira para eventuais observações adicionais.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As visitas, quer do Técnico assistente (AT) quer do Técnico do Organismo de Controlo (OC), devem ser assinaladas com o nome e rubrica na coluna “Visitas e Intervenientes”.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Os registos relativos a outros intervenientes (ex.: podadores, operadores de máquinas, aplicadores), a áreas trabalhadas e à duração da tarefa, sendo importantes sobretudo para o historial da exploração, são de carácter facultativo.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 xml:space="preserve">As notas (1) </w:t>
      </w:r>
      <w:proofErr w:type="gramStart"/>
      <w:r w:rsidRPr="00B70146">
        <w:rPr>
          <w:rFonts w:ascii="Arial" w:eastAsia="Calibri" w:hAnsi="Arial" w:cs="Arial"/>
          <w:sz w:val="20"/>
          <w:szCs w:val="20"/>
        </w:rPr>
        <w:t>a (4) ao</w:t>
      </w:r>
      <w:proofErr w:type="gramEnd"/>
      <w:r w:rsidRPr="00B70146">
        <w:rPr>
          <w:rFonts w:ascii="Arial" w:eastAsia="Calibri" w:hAnsi="Arial" w:cs="Arial"/>
          <w:sz w:val="20"/>
          <w:szCs w:val="20"/>
        </w:rPr>
        <w:t xml:space="preserve"> quadro dos registos da componente vegetal fornecem outros esclarecimentos para o seu preenchimento.</w:t>
      </w:r>
    </w:p>
    <w:p w:rsidR="006D00A4" w:rsidRPr="00B70146" w:rsidRDefault="006D00A4" w:rsidP="00B70146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70146">
        <w:rPr>
          <w:rFonts w:ascii="Arial" w:eastAsia="Calibri" w:hAnsi="Arial" w:cs="Arial"/>
          <w:b/>
          <w:sz w:val="20"/>
          <w:szCs w:val="20"/>
          <w:u w:val="single"/>
        </w:rPr>
        <w:t>FOLHA 6 E 7 - REGISTOS DA COMPONENTE ANIMAL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O quadro relativo à componente animal destina-se aos registos do tipo de intervenção efetuado e da respetiva da justificação, com a devida quantificação, sempre que aplicável.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Para cada registo existem três linhas, sendo a primeira para a descrição da operação, a segunda para quantificações e a terceira para eventuais observações adicionais.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Nestas folhas, sempre que os registos solicitados já constem de documentos oficiais obrigatórios, bastará remeter para a página do documento oficial em questão.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Por exemplo, a coluna “Alteração do N.º de Animais” poderá indicar apenas o n.º total de nascimentos e de mortes que ocorreram durante um período definido (15 dias ou um mês).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No caso de bovinos, remeter a consulta para as páginas do Livro de Registo de Existências e Deslocações, que contêm o registo desta informação para este período de tempo.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A coluna referente a “Visitas e Intervenientes” deverá ser preenchida com o nome do Operador, do Tratador, do Técnico assistente ou do Técnico do Organismo de Controlo (OC).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Estes dois últimos devem ainda inscrever a sua rubrica. No caso de se referir ao Operador ou ao Tratador, deverá ainda ser registado.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As visitas, quer do Técnico assistente (AT) quer do Técnico do Organismo de Controlo (OC), devem ser assinaladas com o nome e rubrica na coluna “Visitas e Intervenientes”.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Os registos relativos a outros intervenientes (ex.: tratadores, operadores) ao número de animais e à duração do trabalho, sendo importantes, sobretudo para o historial da exploração, são de carácter facultativo.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 xml:space="preserve">As notas (1) </w:t>
      </w:r>
      <w:proofErr w:type="gramStart"/>
      <w:r w:rsidRPr="00B70146">
        <w:rPr>
          <w:rFonts w:ascii="Arial" w:eastAsia="Calibri" w:hAnsi="Arial" w:cs="Arial"/>
          <w:sz w:val="20"/>
          <w:szCs w:val="20"/>
        </w:rPr>
        <w:t>a (5) ao</w:t>
      </w:r>
      <w:proofErr w:type="gramEnd"/>
      <w:r w:rsidRPr="00B70146">
        <w:rPr>
          <w:rFonts w:ascii="Arial" w:eastAsia="Calibri" w:hAnsi="Arial" w:cs="Arial"/>
          <w:sz w:val="20"/>
          <w:szCs w:val="20"/>
        </w:rPr>
        <w:t xml:space="preserve"> quadro dos registos da componente animal fornecem outros esclarecimentos para o seu preenchimento.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70146">
        <w:rPr>
          <w:rFonts w:ascii="Arial" w:eastAsia="Calibri" w:hAnsi="Arial" w:cs="Arial"/>
          <w:b/>
          <w:sz w:val="20"/>
          <w:szCs w:val="20"/>
          <w:u w:val="single"/>
        </w:rPr>
        <w:t>ANEXO I - REGISTO DE AQUISIÇÕES/ENTRADAS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Pretende-se que o beneficiário registe todas as aquisições/entradas de fatores de produção aplicados na área de compromisso. Podem ser produtos fitofarmacêuticos, fertilizantes, rações, sementes, etc., e devem ser designados pelo seu nome comercial.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Adicionalmente deve ser indicado o tipo de produto (ex.: adubo, corretivo, fungicida, desinfetante, etc.), o qual pode ser registado conjuntamente na coluna “Produto” ou na coluna “Observações”.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 xml:space="preserve">As notas (1) </w:t>
      </w:r>
      <w:proofErr w:type="gramStart"/>
      <w:r w:rsidRPr="00B70146">
        <w:rPr>
          <w:rFonts w:ascii="Arial" w:eastAsia="Calibri" w:hAnsi="Arial" w:cs="Arial"/>
          <w:sz w:val="20"/>
          <w:szCs w:val="20"/>
        </w:rPr>
        <w:t>a (3) ao</w:t>
      </w:r>
      <w:proofErr w:type="gramEnd"/>
      <w:r w:rsidRPr="00B70146">
        <w:rPr>
          <w:rFonts w:ascii="Arial" w:eastAsia="Calibri" w:hAnsi="Arial" w:cs="Arial"/>
          <w:sz w:val="20"/>
          <w:szCs w:val="20"/>
        </w:rPr>
        <w:t xml:space="preserve"> quadro Anexo I fornecem outros esclarecimentos para o seu preenchimento.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70146">
        <w:rPr>
          <w:rFonts w:ascii="Arial" w:eastAsia="Calibri" w:hAnsi="Arial" w:cs="Arial"/>
          <w:b/>
          <w:sz w:val="20"/>
          <w:szCs w:val="20"/>
          <w:u w:val="single"/>
        </w:rPr>
        <w:t>ANEXO II - PLANO DE FERTILIZAÇÃO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Pretende-se que o beneficiário apresente uma estimativa dos fertilizantes a aplicar, com base nos resultados dos boletins de análise e nas produções esperadas.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Deve ser elaborado um plano por zona homogénea, se a diferença entre zonas homogéneas o justificar.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 xml:space="preserve">O Plano de Fertilização é obrigatório, </w:t>
      </w:r>
      <w:r w:rsidRPr="00B70146">
        <w:rPr>
          <w:rFonts w:ascii="Arial" w:eastAsia="Calibri" w:hAnsi="Arial" w:cs="Arial"/>
          <w:sz w:val="20"/>
          <w:szCs w:val="20"/>
          <w:u w:val="single"/>
        </w:rPr>
        <w:t>mas pode ser apresentado segundo outro modelo</w:t>
      </w:r>
      <w:r w:rsidRPr="00B70146">
        <w:rPr>
          <w:rFonts w:ascii="Arial" w:eastAsia="Calibri" w:hAnsi="Arial" w:cs="Arial"/>
          <w:sz w:val="20"/>
          <w:szCs w:val="20"/>
        </w:rPr>
        <w:t>, desde que contenha a informação solicitada neste Anexo II.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70146">
        <w:rPr>
          <w:rFonts w:ascii="Arial" w:eastAsia="Calibri" w:hAnsi="Arial" w:cs="Arial"/>
          <w:b/>
          <w:sz w:val="20"/>
          <w:szCs w:val="20"/>
          <w:u w:val="single"/>
        </w:rPr>
        <w:t>ANEXO III - PLANO DE BOAS PRÁTICAS DE HIGIENE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>Neste quadro deve inscrever de forma sucinta as medidas preventivas de carácter sanitário que planeia adotar em relação a cada um dos parâmetros referidos, quando aplicável.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 xml:space="preserve">O Plano de Boas Práticas de Higiene é obrigatório, mas </w:t>
      </w:r>
      <w:r w:rsidRPr="00B70146">
        <w:rPr>
          <w:rFonts w:ascii="Arial" w:eastAsia="Calibri" w:hAnsi="Arial" w:cs="Arial"/>
          <w:sz w:val="20"/>
          <w:szCs w:val="20"/>
          <w:u w:val="single"/>
        </w:rPr>
        <w:t>pode ser apresentado segundo outro modelo,</w:t>
      </w:r>
      <w:r w:rsidRPr="00B70146">
        <w:rPr>
          <w:rFonts w:ascii="Arial" w:eastAsia="Calibri" w:hAnsi="Arial" w:cs="Arial"/>
          <w:sz w:val="20"/>
          <w:szCs w:val="20"/>
        </w:rPr>
        <w:t xml:space="preserve"> desde que contenha a informação solicitada neste Anexo III.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70146">
        <w:rPr>
          <w:rFonts w:ascii="Arial" w:eastAsia="Calibri" w:hAnsi="Arial" w:cs="Arial"/>
          <w:b/>
          <w:sz w:val="20"/>
          <w:szCs w:val="20"/>
          <w:u w:val="single"/>
        </w:rPr>
        <w:t>ANEXO IV - PLANO DE REPRODUÇÃO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 xml:space="preserve">O Plano de Reprodução aplica-se a ovinos, caprinos, bovinos e suínos. É obrigatório, mas </w:t>
      </w:r>
      <w:r w:rsidRPr="00B70146">
        <w:rPr>
          <w:rFonts w:ascii="Arial" w:eastAsia="Calibri" w:hAnsi="Arial" w:cs="Arial"/>
          <w:sz w:val="20"/>
          <w:szCs w:val="20"/>
          <w:u w:val="single"/>
        </w:rPr>
        <w:t>pode ser apresentado segundo outro modelo,</w:t>
      </w:r>
      <w:r w:rsidRPr="00B70146">
        <w:rPr>
          <w:rFonts w:ascii="Arial" w:eastAsia="Calibri" w:hAnsi="Arial" w:cs="Arial"/>
          <w:sz w:val="20"/>
          <w:szCs w:val="20"/>
        </w:rPr>
        <w:t xml:space="preserve"> desde que contenha a informação solicitada neste Anexo IV.</w:t>
      </w:r>
    </w:p>
    <w:p w:rsidR="00F14D38" w:rsidRPr="00B70146" w:rsidRDefault="00F14D38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14D38" w:rsidRPr="00B70146" w:rsidRDefault="00F14D38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0146">
        <w:rPr>
          <w:rFonts w:ascii="Arial" w:hAnsi="Arial" w:cs="Arial"/>
          <w:b/>
          <w:sz w:val="20"/>
          <w:szCs w:val="20"/>
          <w:u w:val="single"/>
        </w:rPr>
        <w:t>ANEXO V - CALENDÁRIO DE REGA</w:t>
      </w:r>
    </w:p>
    <w:p w:rsidR="00F14D38" w:rsidRPr="00B70146" w:rsidRDefault="00F14D38" w:rsidP="00B70146">
      <w:pPr>
        <w:autoSpaceDE w:val="0"/>
        <w:autoSpaceDN w:val="0"/>
        <w:adjustRightInd w:val="0"/>
        <w:spacing w:after="120" w:line="360" w:lineRule="auto"/>
        <w:jc w:val="both"/>
      </w:pPr>
      <w:r w:rsidRPr="00B70146">
        <w:rPr>
          <w:rFonts w:ascii="Arial" w:hAnsi="Arial" w:cs="Arial"/>
          <w:sz w:val="20"/>
          <w:szCs w:val="20"/>
        </w:rPr>
        <w:t xml:space="preserve">Este anexo apenas deve ser preenchido pelos </w:t>
      </w:r>
      <w:r w:rsidRPr="00B70146">
        <w:rPr>
          <w:rFonts w:ascii="Arial" w:eastAsia="Calibri" w:hAnsi="Arial" w:cs="Arial"/>
          <w:sz w:val="20"/>
          <w:szCs w:val="20"/>
        </w:rPr>
        <w:t>beneficiários da ação 7.5.1 “Uso Eficiente da Água”</w:t>
      </w:r>
      <w:r w:rsidRPr="00B70146">
        <w:t>.</w:t>
      </w:r>
    </w:p>
    <w:p w:rsidR="000F7971" w:rsidRPr="00B70146" w:rsidRDefault="00F14D38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 xml:space="preserve">As dotações de rega devem ser justificadas tendo por base, por exemplo, o balanço hídrico, os Avisos de Rega ou um sistema de controlo das necessidades de rega. De qualquer forma, </w:t>
      </w:r>
      <w:r w:rsidRPr="00B70146">
        <w:rPr>
          <w:rFonts w:ascii="Arial" w:hAnsi="Arial" w:cs="Arial"/>
          <w:b/>
          <w:sz w:val="20"/>
          <w:szCs w:val="20"/>
        </w:rPr>
        <w:t xml:space="preserve">as dotações de rega devem ter em conta </w:t>
      </w:r>
      <w:r w:rsidR="000F7971" w:rsidRPr="00B70146">
        <w:rPr>
          <w:rFonts w:ascii="Arial" w:hAnsi="Arial" w:cs="Arial"/>
          <w:b/>
          <w:sz w:val="20"/>
          <w:szCs w:val="20"/>
        </w:rPr>
        <w:t>a evapotranspiração da cultura (ETc) e nunca deverão exceder a capacidade utilizável (RU) do solo</w:t>
      </w:r>
      <w:r w:rsidR="000F7971" w:rsidRPr="00B70146">
        <w:rPr>
          <w:rFonts w:ascii="Arial" w:hAnsi="Arial" w:cs="Arial"/>
          <w:sz w:val="20"/>
          <w:szCs w:val="20"/>
        </w:rPr>
        <w:t>.</w:t>
      </w:r>
    </w:p>
    <w:p w:rsidR="000F7971" w:rsidRPr="00B70146" w:rsidRDefault="00C95198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 xml:space="preserve">Informação complementar sobre o </w:t>
      </w:r>
      <w:r w:rsidR="000F7971" w:rsidRPr="00B70146">
        <w:rPr>
          <w:rFonts w:ascii="Arial" w:hAnsi="Arial" w:cs="Arial"/>
          <w:sz w:val="20"/>
          <w:szCs w:val="20"/>
        </w:rPr>
        <w:t>pree</w:t>
      </w:r>
      <w:r w:rsidRPr="00B70146">
        <w:rPr>
          <w:rFonts w:ascii="Arial" w:hAnsi="Arial" w:cs="Arial"/>
          <w:sz w:val="20"/>
          <w:szCs w:val="20"/>
        </w:rPr>
        <w:t>nchimento do calendário de rega,</w:t>
      </w:r>
      <w:r w:rsidR="000F7971" w:rsidRPr="00B70146">
        <w:rPr>
          <w:rFonts w:ascii="Arial" w:hAnsi="Arial" w:cs="Arial"/>
          <w:sz w:val="20"/>
          <w:szCs w:val="20"/>
        </w:rPr>
        <w:t xml:space="preserve"> elaborada pela DGADR, encontra-se disponíve</w:t>
      </w:r>
      <w:r w:rsidRPr="00B70146">
        <w:rPr>
          <w:rFonts w:ascii="Arial" w:hAnsi="Arial" w:cs="Arial"/>
          <w:sz w:val="20"/>
          <w:szCs w:val="20"/>
        </w:rPr>
        <w:t>l</w:t>
      </w:r>
      <w:r w:rsidR="000F7971" w:rsidRPr="00B70146">
        <w:rPr>
          <w:rFonts w:ascii="Arial" w:hAnsi="Arial" w:cs="Arial"/>
          <w:sz w:val="20"/>
          <w:szCs w:val="20"/>
        </w:rPr>
        <w:t xml:space="preserve"> no seguinte </w:t>
      </w:r>
      <w:proofErr w:type="gramStart"/>
      <w:r w:rsidR="000F7971" w:rsidRPr="00B70146">
        <w:rPr>
          <w:rFonts w:ascii="Arial" w:hAnsi="Arial" w:cs="Arial"/>
          <w:i/>
          <w:sz w:val="20"/>
          <w:szCs w:val="20"/>
        </w:rPr>
        <w:t>link</w:t>
      </w:r>
      <w:proofErr w:type="gramEnd"/>
      <w:r w:rsidR="000F7971" w:rsidRPr="00B70146">
        <w:rPr>
          <w:rFonts w:ascii="Arial" w:hAnsi="Arial" w:cs="Arial"/>
          <w:i/>
          <w:sz w:val="20"/>
          <w:szCs w:val="20"/>
        </w:rPr>
        <w:t xml:space="preserve">: </w:t>
      </w:r>
      <w:hyperlink r:id="rId9" w:history="1">
        <w:r w:rsidR="000F7971" w:rsidRPr="00B70146">
          <w:rPr>
            <w:rStyle w:val="Hiperligao"/>
            <w:rFonts w:ascii="Arial" w:hAnsi="Arial" w:cs="Arial"/>
            <w:sz w:val="20"/>
            <w:szCs w:val="20"/>
          </w:rPr>
          <w:t>http://www.dgadr.mamaot.pt/rec/sistema-de-reconhecimento-de-regantes</w:t>
        </w:r>
      </w:hyperlink>
    </w:p>
    <w:p w:rsidR="000F7971" w:rsidRPr="00B70146" w:rsidRDefault="000F7971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>O calendário de rega deve ser preenchido com uma periodicidade mínima semanal.</w:t>
      </w:r>
    </w:p>
    <w:p w:rsidR="000F7971" w:rsidRPr="00B70146" w:rsidRDefault="000F7971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0F7971" w:rsidRPr="00B70146" w:rsidRDefault="000F7971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>No preenchimento do Calendário de rega, deve ter em atenção:</w:t>
      </w:r>
    </w:p>
    <w:p w:rsidR="000F7971" w:rsidRPr="00B70146" w:rsidRDefault="000F7971" w:rsidP="00B7014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>Caso uma zona homogénea inclua apenas uma cultura, poderá ser preenchido apenas um calendário de rega, que será repetido para cada contador envolvido nessa zona;</w:t>
      </w:r>
    </w:p>
    <w:p w:rsidR="000F7971" w:rsidRPr="00B70146" w:rsidRDefault="000F7971" w:rsidP="00B7014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>Caso uma zona homogénea inclua diversas culturas, terão que ser preenchidos tantos calendários de rega quantas as culturas e quantos os contadores.</w:t>
      </w: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6D00A4" w:rsidRPr="00B70146" w:rsidRDefault="006D00A4" w:rsidP="00B7014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70146">
        <w:rPr>
          <w:rFonts w:ascii="Arial" w:eastAsia="Calibri" w:hAnsi="Arial" w:cs="Arial"/>
          <w:b/>
          <w:sz w:val="20"/>
          <w:szCs w:val="20"/>
          <w:u w:val="single"/>
        </w:rPr>
        <w:t>DOCUMENTOS ANEXOS AO CADERNO DE CAMPO</w:t>
      </w:r>
    </w:p>
    <w:p w:rsidR="006D00A4" w:rsidRPr="00B70146" w:rsidRDefault="006D00A4" w:rsidP="00B70146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0146">
        <w:rPr>
          <w:rFonts w:ascii="Arial" w:eastAsia="Calibri" w:hAnsi="Arial" w:cs="Arial"/>
          <w:sz w:val="20"/>
          <w:szCs w:val="20"/>
        </w:rPr>
        <w:t xml:space="preserve">Para efeitos de controlo por parte do OC e assistência técnica devem estar sempre anexados os seguintes documentos: </w:t>
      </w:r>
    </w:p>
    <w:p w:rsidR="006D00A4" w:rsidRPr="00B70146" w:rsidRDefault="006D00A4" w:rsidP="00B70146">
      <w:pPr>
        <w:numPr>
          <w:ilvl w:val="0"/>
          <w:numId w:val="17"/>
        </w:numPr>
        <w:tabs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>Cópia de contrato com o OC;</w:t>
      </w:r>
    </w:p>
    <w:p w:rsidR="006D00A4" w:rsidRPr="00B70146" w:rsidRDefault="006D00A4" w:rsidP="00B70146">
      <w:pPr>
        <w:numPr>
          <w:ilvl w:val="0"/>
          <w:numId w:val="17"/>
        </w:numPr>
        <w:tabs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>Boletins de análise de terra, água e material vegetal;</w:t>
      </w:r>
    </w:p>
    <w:p w:rsidR="006D00A4" w:rsidRPr="00B70146" w:rsidRDefault="006D00A4" w:rsidP="00B70146">
      <w:pPr>
        <w:numPr>
          <w:ilvl w:val="0"/>
          <w:numId w:val="17"/>
        </w:numPr>
        <w:tabs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>Faturas ou outros documentos comprovativos de aquisição e utilização de fatores de produção, como p.e. produtos fitofármacos, matérias fertilizantes, alimentos para animais, medicamentos, produtos de limpeza e desinfeção, embalagens, entre outros;</w:t>
      </w:r>
    </w:p>
    <w:p w:rsidR="006D00A4" w:rsidRPr="00B70146" w:rsidRDefault="006D00A4" w:rsidP="00B70146">
      <w:pPr>
        <w:numPr>
          <w:ilvl w:val="0"/>
          <w:numId w:val="17"/>
        </w:numPr>
        <w:tabs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>Certificados ou outros documentos emitidos pelo OC, nomeadamente o relatório de controlo;</w:t>
      </w:r>
    </w:p>
    <w:p w:rsidR="006D00A4" w:rsidRPr="00B70146" w:rsidRDefault="006D00A4" w:rsidP="00B70146">
      <w:pPr>
        <w:numPr>
          <w:ilvl w:val="0"/>
          <w:numId w:val="17"/>
        </w:numPr>
        <w:tabs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>Livro de registo das existências e deslocações;</w:t>
      </w:r>
    </w:p>
    <w:p w:rsidR="006D00A4" w:rsidRPr="00B70146" w:rsidRDefault="006D00A4" w:rsidP="00B70146">
      <w:pPr>
        <w:numPr>
          <w:ilvl w:val="0"/>
          <w:numId w:val="17"/>
        </w:numPr>
        <w:tabs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>Livro de registo de medicamentos.</w:t>
      </w:r>
    </w:p>
    <w:p w:rsidR="00F14D38" w:rsidRPr="00B70146" w:rsidRDefault="00F14D38" w:rsidP="00B70146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F14D38" w:rsidRPr="00B70146" w:rsidRDefault="00F14D38" w:rsidP="00B7014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 xml:space="preserve">Para os beneficiários da ação 7.5.1 “Uso Eficiente da Água”, para além dos documentos anteriores exigidos no âmbito da ação 7.1 “Agricultura Biológica” e da ação 7.2 “Produção integrada”, para efeitos de controlo por parte da entidade reconhecedora de regantes </w:t>
      </w:r>
      <w:r w:rsidR="00C95198" w:rsidRPr="00B70146">
        <w:rPr>
          <w:rFonts w:ascii="Arial" w:hAnsi="Arial" w:cs="Arial"/>
          <w:sz w:val="20"/>
          <w:szCs w:val="20"/>
        </w:rPr>
        <w:t>(</w:t>
      </w:r>
      <w:r w:rsidRPr="00B70146">
        <w:rPr>
          <w:rFonts w:ascii="Arial" w:hAnsi="Arial" w:cs="Arial"/>
          <w:sz w:val="20"/>
          <w:szCs w:val="20"/>
        </w:rPr>
        <w:t>ERR</w:t>
      </w:r>
      <w:r w:rsidR="00C95198" w:rsidRPr="00B70146">
        <w:rPr>
          <w:rFonts w:ascii="Arial" w:hAnsi="Arial" w:cs="Arial"/>
          <w:sz w:val="20"/>
          <w:szCs w:val="20"/>
        </w:rPr>
        <w:t>)</w:t>
      </w:r>
      <w:r w:rsidRPr="00B70146">
        <w:rPr>
          <w:rFonts w:ascii="Arial" w:hAnsi="Arial" w:cs="Arial"/>
          <w:sz w:val="20"/>
          <w:szCs w:val="20"/>
        </w:rPr>
        <w:t xml:space="preserve"> e assistência técnica devem ainda ser anexados os seguintes documentos: </w:t>
      </w:r>
    </w:p>
    <w:p w:rsidR="00F14D38" w:rsidRPr="00B70146" w:rsidRDefault="00F14D38" w:rsidP="00B70146">
      <w:pPr>
        <w:numPr>
          <w:ilvl w:val="0"/>
          <w:numId w:val="17"/>
        </w:numPr>
        <w:tabs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>Cópia de contrato com a ERR;</w:t>
      </w:r>
    </w:p>
    <w:p w:rsidR="000F7971" w:rsidRPr="00B70146" w:rsidRDefault="00F14D38" w:rsidP="00B70146">
      <w:pPr>
        <w:numPr>
          <w:ilvl w:val="0"/>
          <w:numId w:val="17"/>
        </w:numPr>
        <w:tabs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70146">
        <w:rPr>
          <w:rFonts w:ascii="Arial" w:hAnsi="Arial" w:cs="Arial"/>
          <w:sz w:val="20"/>
          <w:szCs w:val="20"/>
        </w:rPr>
        <w:t>Certificados ou outros documentos emitidos pela ERR, nomeadamente os relatórios de inspeção dos sistemas de irrigação e inspeção de reconhecimento.</w:t>
      </w:r>
    </w:p>
    <w:sectPr w:rsidR="000F7971" w:rsidRPr="00B70146" w:rsidSect="00C95198">
      <w:headerReference w:type="default" r:id="rId10"/>
      <w:footerReference w:type="default" r:id="rId11"/>
      <w:pgSz w:w="11906" w:h="16838"/>
      <w:pgMar w:top="1701" w:right="851" w:bottom="1134" w:left="851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EE" w:rsidRDefault="006E25EE" w:rsidP="00C37354">
      <w:pPr>
        <w:spacing w:after="0" w:line="240" w:lineRule="auto"/>
      </w:pPr>
      <w:r>
        <w:separator/>
      </w:r>
    </w:p>
  </w:endnote>
  <w:endnote w:type="continuationSeparator" w:id="0">
    <w:p w:rsidR="006E25EE" w:rsidRDefault="006E25EE" w:rsidP="00C3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54" w:rsidRDefault="00C37354" w:rsidP="00C37354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119605F" wp14:editId="559300D7">
          <wp:simplePos x="0" y="0"/>
          <wp:positionH relativeFrom="column">
            <wp:posOffset>-6286</wp:posOffset>
          </wp:positionH>
          <wp:positionV relativeFrom="paragraph">
            <wp:posOffset>-7925</wp:posOffset>
          </wp:positionV>
          <wp:extent cx="1647825" cy="69532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eastAsia="pt-PT"/>
      </w:rPr>
      <w:drawing>
        <wp:inline distT="0" distB="0" distL="0" distR="0" wp14:anchorId="03941A44" wp14:editId="63C0543B">
          <wp:extent cx="2713990" cy="687705"/>
          <wp:effectExtent l="0" t="0" r="0" b="0"/>
          <wp:docPr id="3" name="Imagem 3" descr="Digital_PT_MAM_4C_H_F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igital_PT_MAM_4C_H_FC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C75" w:rsidRPr="008F23B4">
      <w:rPr>
        <w:rFonts w:ascii="Arial" w:hAnsi="Arial" w:cs="Arial"/>
        <w:sz w:val="16"/>
        <w:szCs w:val="16"/>
      </w:rPr>
      <w:t xml:space="preserve">Pág. </w:t>
    </w:r>
    <w:r w:rsidR="00045C75" w:rsidRPr="008F23B4">
      <w:rPr>
        <w:rStyle w:val="Nmerodepgina"/>
        <w:rFonts w:ascii="Arial" w:hAnsi="Arial" w:cs="Arial"/>
        <w:sz w:val="16"/>
        <w:szCs w:val="16"/>
      </w:rPr>
      <w:fldChar w:fldCharType="begin"/>
    </w:r>
    <w:r w:rsidR="00045C75" w:rsidRPr="008F23B4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045C75" w:rsidRPr="008F23B4">
      <w:rPr>
        <w:rStyle w:val="Nmerodepgina"/>
        <w:rFonts w:ascii="Arial" w:hAnsi="Arial" w:cs="Arial"/>
        <w:sz w:val="16"/>
        <w:szCs w:val="16"/>
      </w:rPr>
      <w:fldChar w:fldCharType="separate"/>
    </w:r>
    <w:r w:rsidR="00B70146">
      <w:rPr>
        <w:rStyle w:val="Nmerodepgina"/>
        <w:rFonts w:ascii="Arial" w:hAnsi="Arial" w:cs="Arial"/>
        <w:noProof/>
        <w:sz w:val="16"/>
        <w:szCs w:val="16"/>
      </w:rPr>
      <w:t>5</w:t>
    </w:r>
    <w:r w:rsidR="00045C75" w:rsidRPr="008F23B4">
      <w:rPr>
        <w:rStyle w:val="Nmerodepgina"/>
        <w:rFonts w:ascii="Arial" w:hAnsi="Arial" w:cs="Arial"/>
        <w:sz w:val="16"/>
        <w:szCs w:val="16"/>
      </w:rPr>
      <w:fldChar w:fldCharType="end"/>
    </w:r>
    <w:r w:rsidR="00045C75" w:rsidRPr="008F23B4">
      <w:rPr>
        <w:rStyle w:val="Nmerodepgina"/>
        <w:rFonts w:ascii="Arial" w:hAnsi="Arial" w:cs="Arial"/>
        <w:sz w:val="16"/>
        <w:szCs w:val="16"/>
      </w:rPr>
      <w:t xml:space="preserve"> </w:t>
    </w:r>
    <w:proofErr w:type="gramStart"/>
    <w:r w:rsidR="00045C75" w:rsidRPr="008F23B4">
      <w:rPr>
        <w:rStyle w:val="Nmerodepgina"/>
        <w:rFonts w:ascii="Arial" w:hAnsi="Arial" w:cs="Arial"/>
        <w:sz w:val="16"/>
        <w:szCs w:val="16"/>
      </w:rPr>
      <w:t>de</w:t>
    </w:r>
    <w:proofErr w:type="gramEnd"/>
    <w:r w:rsidR="00045C75" w:rsidRPr="008F23B4">
      <w:rPr>
        <w:rStyle w:val="Nmerodepgina"/>
        <w:rFonts w:ascii="Arial" w:hAnsi="Arial" w:cs="Arial"/>
        <w:sz w:val="16"/>
        <w:szCs w:val="16"/>
      </w:rPr>
      <w:t xml:space="preserve"> </w:t>
    </w:r>
    <w:r w:rsidR="00914E16">
      <w:rPr>
        <w:rStyle w:val="Nmerodepgina"/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EE" w:rsidRDefault="006E25EE" w:rsidP="00C37354">
      <w:pPr>
        <w:spacing w:after="0" w:line="240" w:lineRule="auto"/>
      </w:pPr>
      <w:r>
        <w:separator/>
      </w:r>
    </w:p>
  </w:footnote>
  <w:footnote w:type="continuationSeparator" w:id="0">
    <w:p w:rsidR="006E25EE" w:rsidRDefault="006E25EE" w:rsidP="00C3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54" w:rsidRDefault="00C37354">
    <w:pPr>
      <w:pStyle w:val="Cabealho"/>
    </w:pPr>
    <w:r>
      <w:rPr>
        <w:noProof/>
        <w:lang w:eastAsia="pt-PT"/>
      </w:rPr>
      <w:drawing>
        <wp:inline distT="0" distB="0" distL="0" distR="0" wp14:anchorId="051F0E48" wp14:editId="1373809A">
          <wp:extent cx="1638300" cy="358140"/>
          <wp:effectExtent l="0" t="0" r="0" b="3810"/>
          <wp:docPr id="1" name="Imagem 1" descr="HORIZONT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AD0"/>
    <w:multiLevelType w:val="hybridMultilevel"/>
    <w:tmpl w:val="8E608C6E"/>
    <w:lvl w:ilvl="0" w:tplc="9A66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955B1"/>
    <w:multiLevelType w:val="hybridMultilevel"/>
    <w:tmpl w:val="817006DE"/>
    <w:lvl w:ilvl="0" w:tplc="08160019">
      <w:start w:val="1"/>
      <w:numFmt w:val="lowerLetter"/>
      <w:lvlText w:val="%1."/>
      <w:lvlJc w:val="left"/>
      <w:pPr>
        <w:ind w:left="1287" w:hanging="360"/>
      </w:pPr>
    </w:lvl>
    <w:lvl w:ilvl="1" w:tplc="08160019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9D5183"/>
    <w:multiLevelType w:val="hybridMultilevel"/>
    <w:tmpl w:val="C5DAE95E"/>
    <w:lvl w:ilvl="0" w:tplc="9A66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77000"/>
    <w:multiLevelType w:val="hybridMultilevel"/>
    <w:tmpl w:val="AB80022A"/>
    <w:lvl w:ilvl="0" w:tplc="867E1706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8" w:hanging="360"/>
      </w:pPr>
    </w:lvl>
    <w:lvl w:ilvl="2" w:tplc="0816001B" w:tentative="1">
      <w:start w:val="1"/>
      <w:numFmt w:val="lowerRoman"/>
      <w:lvlText w:val="%3."/>
      <w:lvlJc w:val="right"/>
      <w:pPr>
        <w:ind w:left="2108" w:hanging="180"/>
      </w:pPr>
    </w:lvl>
    <w:lvl w:ilvl="3" w:tplc="0816000F" w:tentative="1">
      <w:start w:val="1"/>
      <w:numFmt w:val="decimal"/>
      <w:lvlText w:val="%4."/>
      <w:lvlJc w:val="left"/>
      <w:pPr>
        <w:ind w:left="2828" w:hanging="360"/>
      </w:pPr>
    </w:lvl>
    <w:lvl w:ilvl="4" w:tplc="08160019" w:tentative="1">
      <w:start w:val="1"/>
      <w:numFmt w:val="lowerLetter"/>
      <w:lvlText w:val="%5."/>
      <w:lvlJc w:val="left"/>
      <w:pPr>
        <w:ind w:left="3548" w:hanging="360"/>
      </w:pPr>
    </w:lvl>
    <w:lvl w:ilvl="5" w:tplc="0816001B" w:tentative="1">
      <w:start w:val="1"/>
      <w:numFmt w:val="lowerRoman"/>
      <w:lvlText w:val="%6."/>
      <w:lvlJc w:val="right"/>
      <w:pPr>
        <w:ind w:left="4268" w:hanging="180"/>
      </w:pPr>
    </w:lvl>
    <w:lvl w:ilvl="6" w:tplc="0816000F" w:tentative="1">
      <w:start w:val="1"/>
      <w:numFmt w:val="decimal"/>
      <w:lvlText w:val="%7."/>
      <w:lvlJc w:val="left"/>
      <w:pPr>
        <w:ind w:left="4988" w:hanging="360"/>
      </w:pPr>
    </w:lvl>
    <w:lvl w:ilvl="7" w:tplc="08160019" w:tentative="1">
      <w:start w:val="1"/>
      <w:numFmt w:val="lowerLetter"/>
      <w:lvlText w:val="%8."/>
      <w:lvlJc w:val="left"/>
      <w:pPr>
        <w:ind w:left="5708" w:hanging="360"/>
      </w:pPr>
    </w:lvl>
    <w:lvl w:ilvl="8" w:tplc="0816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4">
    <w:nsid w:val="273C6F8C"/>
    <w:multiLevelType w:val="hybridMultilevel"/>
    <w:tmpl w:val="607A807E"/>
    <w:lvl w:ilvl="0" w:tplc="08160019">
      <w:start w:val="1"/>
      <w:numFmt w:val="lowerLetter"/>
      <w:lvlText w:val="%1."/>
      <w:lvlJc w:val="left"/>
      <w:pPr>
        <w:ind w:left="1571" w:hanging="360"/>
      </w:p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9">
      <w:start w:val="1"/>
      <w:numFmt w:val="lowerLetter"/>
      <w:lvlText w:val="%3."/>
      <w:lvlJc w:val="lef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8333A23"/>
    <w:multiLevelType w:val="hybridMultilevel"/>
    <w:tmpl w:val="83B4FA00"/>
    <w:lvl w:ilvl="0" w:tplc="08160019">
      <w:start w:val="1"/>
      <w:numFmt w:val="lowerLetter"/>
      <w:lvlText w:val="%1."/>
      <w:lvlJc w:val="left"/>
      <w:pPr>
        <w:ind w:left="1028" w:hanging="360"/>
      </w:pPr>
    </w:lvl>
    <w:lvl w:ilvl="1" w:tplc="712AB5A8">
      <w:start w:val="1"/>
      <w:numFmt w:val="lowerLetter"/>
      <w:lvlText w:val="%2)"/>
      <w:lvlJc w:val="left"/>
      <w:pPr>
        <w:ind w:left="17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468" w:hanging="180"/>
      </w:pPr>
    </w:lvl>
    <w:lvl w:ilvl="3" w:tplc="0816000F" w:tentative="1">
      <w:start w:val="1"/>
      <w:numFmt w:val="decimal"/>
      <w:lvlText w:val="%4."/>
      <w:lvlJc w:val="left"/>
      <w:pPr>
        <w:ind w:left="3188" w:hanging="360"/>
      </w:pPr>
    </w:lvl>
    <w:lvl w:ilvl="4" w:tplc="08160019" w:tentative="1">
      <w:start w:val="1"/>
      <w:numFmt w:val="lowerLetter"/>
      <w:lvlText w:val="%5."/>
      <w:lvlJc w:val="left"/>
      <w:pPr>
        <w:ind w:left="3908" w:hanging="360"/>
      </w:pPr>
    </w:lvl>
    <w:lvl w:ilvl="5" w:tplc="0816001B" w:tentative="1">
      <w:start w:val="1"/>
      <w:numFmt w:val="lowerRoman"/>
      <w:lvlText w:val="%6."/>
      <w:lvlJc w:val="right"/>
      <w:pPr>
        <w:ind w:left="4628" w:hanging="180"/>
      </w:pPr>
    </w:lvl>
    <w:lvl w:ilvl="6" w:tplc="0816000F" w:tentative="1">
      <w:start w:val="1"/>
      <w:numFmt w:val="decimal"/>
      <w:lvlText w:val="%7."/>
      <w:lvlJc w:val="left"/>
      <w:pPr>
        <w:ind w:left="5348" w:hanging="360"/>
      </w:pPr>
    </w:lvl>
    <w:lvl w:ilvl="7" w:tplc="08160019" w:tentative="1">
      <w:start w:val="1"/>
      <w:numFmt w:val="lowerLetter"/>
      <w:lvlText w:val="%8."/>
      <w:lvlJc w:val="left"/>
      <w:pPr>
        <w:ind w:left="6068" w:hanging="360"/>
      </w:pPr>
    </w:lvl>
    <w:lvl w:ilvl="8" w:tplc="0816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6">
    <w:nsid w:val="3A3534A7"/>
    <w:multiLevelType w:val="hybridMultilevel"/>
    <w:tmpl w:val="CDB88BB0"/>
    <w:lvl w:ilvl="0" w:tplc="EA94D252">
      <w:start w:val="1"/>
      <w:numFmt w:val="lowerRoman"/>
      <w:lvlText w:val="%1."/>
      <w:lvlJc w:val="left"/>
      <w:pPr>
        <w:ind w:left="2771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62B8D"/>
    <w:multiLevelType w:val="hybridMultilevel"/>
    <w:tmpl w:val="A7B07440"/>
    <w:lvl w:ilvl="0" w:tplc="08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0507B"/>
    <w:multiLevelType w:val="hybridMultilevel"/>
    <w:tmpl w:val="9B76AE90"/>
    <w:lvl w:ilvl="0" w:tplc="EA94D25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81409"/>
    <w:multiLevelType w:val="hybridMultilevel"/>
    <w:tmpl w:val="A7B07440"/>
    <w:lvl w:ilvl="0" w:tplc="08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529D1"/>
    <w:multiLevelType w:val="hybridMultilevel"/>
    <w:tmpl w:val="CDB88BB0"/>
    <w:lvl w:ilvl="0" w:tplc="EA94D25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9373F"/>
    <w:multiLevelType w:val="hybridMultilevel"/>
    <w:tmpl w:val="43EE7160"/>
    <w:lvl w:ilvl="0" w:tplc="08160019">
      <w:start w:val="1"/>
      <w:numFmt w:val="lowerLetter"/>
      <w:lvlText w:val="%1."/>
      <w:lvlJc w:val="left"/>
      <w:pPr>
        <w:ind w:left="1000" w:hanging="360"/>
      </w:pPr>
    </w:lvl>
    <w:lvl w:ilvl="1" w:tplc="08160019" w:tentative="1">
      <w:start w:val="1"/>
      <w:numFmt w:val="lowerLetter"/>
      <w:lvlText w:val="%2."/>
      <w:lvlJc w:val="left"/>
      <w:pPr>
        <w:ind w:left="1720" w:hanging="360"/>
      </w:pPr>
    </w:lvl>
    <w:lvl w:ilvl="2" w:tplc="08160019">
      <w:start w:val="1"/>
      <w:numFmt w:val="lowerLetter"/>
      <w:lvlText w:val="%3."/>
      <w:lvlJc w:val="left"/>
      <w:pPr>
        <w:ind w:left="2440" w:hanging="180"/>
      </w:pPr>
    </w:lvl>
    <w:lvl w:ilvl="3" w:tplc="0816000F" w:tentative="1">
      <w:start w:val="1"/>
      <w:numFmt w:val="decimal"/>
      <w:lvlText w:val="%4."/>
      <w:lvlJc w:val="left"/>
      <w:pPr>
        <w:ind w:left="3160" w:hanging="360"/>
      </w:pPr>
    </w:lvl>
    <w:lvl w:ilvl="4" w:tplc="08160019" w:tentative="1">
      <w:start w:val="1"/>
      <w:numFmt w:val="lowerLetter"/>
      <w:lvlText w:val="%5."/>
      <w:lvlJc w:val="left"/>
      <w:pPr>
        <w:ind w:left="3880" w:hanging="360"/>
      </w:pPr>
    </w:lvl>
    <w:lvl w:ilvl="5" w:tplc="0816001B" w:tentative="1">
      <w:start w:val="1"/>
      <w:numFmt w:val="lowerRoman"/>
      <w:lvlText w:val="%6."/>
      <w:lvlJc w:val="right"/>
      <w:pPr>
        <w:ind w:left="4600" w:hanging="180"/>
      </w:pPr>
    </w:lvl>
    <w:lvl w:ilvl="6" w:tplc="0816000F" w:tentative="1">
      <w:start w:val="1"/>
      <w:numFmt w:val="decimal"/>
      <w:lvlText w:val="%7."/>
      <w:lvlJc w:val="left"/>
      <w:pPr>
        <w:ind w:left="5320" w:hanging="360"/>
      </w:pPr>
    </w:lvl>
    <w:lvl w:ilvl="7" w:tplc="08160019" w:tentative="1">
      <w:start w:val="1"/>
      <w:numFmt w:val="lowerLetter"/>
      <w:lvlText w:val="%8."/>
      <w:lvlJc w:val="left"/>
      <w:pPr>
        <w:ind w:left="6040" w:hanging="360"/>
      </w:pPr>
    </w:lvl>
    <w:lvl w:ilvl="8" w:tplc="081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>
    <w:nsid w:val="6CA0766B"/>
    <w:multiLevelType w:val="hybridMultilevel"/>
    <w:tmpl w:val="578E62BE"/>
    <w:lvl w:ilvl="0" w:tplc="08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76006"/>
    <w:multiLevelType w:val="hybridMultilevel"/>
    <w:tmpl w:val="CFD016E4"/>
    <w:lvl w:ilvl="0" w:tplc="EA94D25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07244"/>
    <w:multiLevelType w:val="hybridMultilevel"/>
    <w:tmpl w:val="C02CFA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7642A"/>
    <w:multiLevelType w:val="hybridMultilevel"/>
    <w:tmpl w:val="CDB88BB0"/>
    <w:lvl w:ilvl="0" w:tplc="EA94D252">
      <w:start w:val="1"/>
      <w:numFmt w:val="lowerRoman"/>
      <w:lvlText w:val="%1."/>
      <w:lvlJc w:val="left"/>
      <w:pPr>
        <w:ind w:left="2771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C3E2C"/>
    <w:multiLevelType w:val="hybridMultilevel"/>
    <w:tmpl w:val="C90ED55C"/>
    <w:lvl w:ilvl="0" w:tplc="9A66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31855"/>
    <w:multiLevelType w:val="hybridMultilevel"/>
    <w:tmpl w:val="397A6460"/>
    <w:lvl w:ilvl="0" w:tplc="9A66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34865"/>
    <w:multiLevelType w:val="hybridMultilevel"/>
    <w:tmpl w:val="3468ED64"/>
    <w:lvl w:ilvl="0" w:tplc="9A66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0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3"/>
  </w:num>
  <w:num w:numId="12">
    <w:abstractNumId w:val="1"/>
  </w:num>
  <w:num w:numId="13">
    <w:abstractNumId w:val="9"/>
  </w:num>
  <w:num w:numId="14">
    <w:abstractNumId w:val="15"/>
  </w:num>
  <w:num w:numId="15">
    <w:abstractNumId w:val="4"/>
  </w:num>
  <w:num w:numId="16">
    <w:abstractNumId w:val="11"/>
  </w:num>
  <w:num w:numId="17">
    <w:abstractNumId w:val="1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67"/>
    <w:rsid w:val="000302ED"/>
    <w:rsid w:val="00037777"/>
    <w:rsid w:val="00045C75"/>
    <w:rsid w:val="00061F90"/>
    <w:rsid w:val="00074796"/>
    <w:rsid w:val="000968D2"/>
    <w:rsid w:val="000B5737"/>
    <w:rsid w:val="000E4D93"/>
    <w:rsid w:val="000E52A2"/>
    <w:rsid w:val="000F7971"/>
    <w:rsid w:val="00137F51"/>
    <w:rsid w:val="00140376"/>
    <w:rsid w:val="001A67BD"/>
    <w:rsid w:val="001E41BD"/>
    <w:rsid w:val="002906E8"/>
    <w:rsid w:val="002A519B"/>
    <w:rsid w:val="002E4793"/>
    <w:rsid w:val="003013FB"/>
    <w:rsid w:val="0030632A"/>
    <w:rsid w:val="00372EA7"/>
    <w:rsid w:val="00383140"/>
    <w:rsid w:val="003F6CC3"/>
    <w:rsid w:val="00415478"/>
    <w:rsid w:val="00443067"/>
    <w:rsid w:val="00494DFB"/>
    <w:rsid w:val="004C343E"/>
    <w:rsid w:val="00506516"/>
    <w:rsid w:val="005363A6"/>
    <w:rsid w:val="005451A2"/>
    <w:rsid w:val="00547AE8"/>
    <w:rsid w:val="005531BF"/>
    <w:rsid w:val="0058114B"/>
    <w:rsid w:val="00585579"/>
    <w:rsid w:val="00590E6F"/>
    <w:rsid w:val="005C593C"/>
    <w:rsid w:val="005D2CCF"/>
    <w:rsid w:val="00643F1E"/>
    <w:rsid w:val="00663BA2"/>
    <w:rsid w:val="00671BCF"/>
    <w:rsid w:val="006B02EE"/>
    <w:rsid w:val="006B7370"/>
    <w:rsid w:val="006D00A4"/>
    <w:rsid w:val="006E25EE"/>
    <w:rsid w:val="006F03DF"/>
    <w:rsid w:val="0079342A"/>
    <w:rsid w:val="007C7D12"/>
    <w:rsid w:val="007D3EA5"/>
    <w:rsid w:val="00835209"/>
    <w:rsid w:val="0089327D"/>
    <w:rsid w:val="008A5458"/>
    <w:rsid w:val="00914E16"/>
    <w:rsid w:val="00927C6E"/>
    <w:rsid w:val="00931F48"/>
    <w:rsid w:val="00947174"/>
    <w:rsid w:val="00985B0A"/>
    <w:rsid w:val="0099618C"/>
    <w:rsid w:val="009A1032"/>
    <w:rsid w:val="009C7B01"/>
    <w:rsid w:val="009D7E68"/>
    <w:rsid w:val="00A022E1"/>
    <w:rsid w:val="00AF499D"/>
    <w:rsid w:val="00B44229"/>
    <w:rsid w:val="00B60416"/>
    <w:rsid w:val="00B65030"/>
    <w:rsid w:val="00B70146"/>
    <w:rsid w:val="00B74578"/>
    <w:rsid w:val="00BC132F"/>
    <w:rsid w:val="00BC79CA"/>
    <w:rsid w:val="00BF2D5E"/>
    <w:rsid w:val="00BF6FB8"/>
    <w:rsid w:val="00C0111D"/>
    <w:rsid w:val="00C37354"/>
    <w:rsid w:val="00C95198"/>
    <w:rsid w:val="00D073AA"/>
    <w:rsid w:val="00D22D47"/>
    <w:rsid w:val="00DB0F73"/>
    <w:rsid w:val="00DB5E0B"/>
    <w:rsid w:val="00DD1713"/>
    <w:rsid w:val="00DE773C"/>
    <w:rsid w:val="00E00313"/>
    <w:rsid w:val="00E164B3"/>
    <w:rsid w:val="00EA1972"/>
    <w:rsid w:val="00EE76DD"/>
    <w:rsid w:val="00F14D38"/>
    <w:rsid w:val="00F4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0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37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37354"/>
  </w:style>
  <w:style w:type="paragraph" w:styleId="Rodap">
    <w:name w:val="footer"/>
    <w:basedOn w:val="Normal"/>
    <w:link w:val="RodapCarcter"/>
    <w:uiPriority w:val="99"/>
    <w:unhideWhenUsed/>
    <w:rsid w:val="00C37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37354"/>
  </w:style>
  <w:style w:type="paragraph" w:styleId="Textodebalo">
    <w:name w:val="Balloon Text"/>
    <w:basedOn w:val="Normal"/>
    <w:link w:val="TextodebaloCarcter"/>
    <w:uiPriority w:val="99"/>
    <w:semiHidden/>
    <w:unhideWhenUsed/>
    <w:rsid w:val="00C3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735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cter"/>
    <w:uiPriority w:val="34"/>
    <w:qFormat/>
    <w:rsid w:val="00F47B8E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47B8E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unhideWhenUsed/>
    <w:rsid w:val="00F47B8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F47B8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47B8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47B8E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30632A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30632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0632A"/>
    <w:rPr>
      <w:vertAlign w:val="superscript"/>
    </w:rPr>
  </w:style>
  <w:style w:type="paragraph" w:styleId="Avanodecorpodetexto2">
    <w:name w:val="Body Text Indent 2"/>
    <w:basedOn w:val="Normal"/>
    <w:link w:val="Avanodecorpodetexto2Carcter"/>
    <w:rsid w:val="003F6CC3"/>
    <w:pPr>
      <w:spacing w:after="120" w:line="480" w:lineRule="auto"/>
      <w:ind w:left="283"/>
    </w:pPr>
    <w:rPr>
      <w:rFonts w:ascii="Trebuchet MS" w:eastAsia="Times New Roman" w:hAnsi="Trebuchet MS" w:cs="Times New Roman"/>
      <w:sz w:val="18"/>
      <w:szCs w:val="24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3F6CC3"/>
    <w:rPr>
      <w:rFonts w:ascii="Trebuchet MS" w:eastAsia="Times New Roman" w:hAnsi="Trebuchet MS" w:cs="Times New Roman"/>
      <w:sz w:val="18"/>
      <w:szCs w:val="24"/>
    </w:rPr>
  </w:style>
  <w:style w:type="paragraph" w:customStyle="1" w:styleId="CarcterCarcterCharCharCarcterCarcterCharCharCarcterCarcterCarcterCharCharCarcterCarcter1CharCharCarcterCarcterCharCarcterCarcterCarcterCharCharCarcterCarcterCharCarcterChar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415478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character" w:customStyle="1" w:styleId="PargrafodaListaCarcter">
    <w:name w:val="Parágrafo da Lista Carácter"/>
    <w:link w:val="PargrafodaLista"/>
    <w:uiPriority w:val="34"/>
    <w:locked/>
    <w:rsid w:val="00045C75"/>
  </w:style>
  <w:style w:type="character" w:styleId="Nmerodepgina">
    <w:name w:val="page number"/>
    <w:basedOn w:val="Tipodeletrapredefinidodopargrafo"/>
    <w:rsid w:val="00045C75"/>
  </w:style>
  <w:style w:type="paragraph" w:customStyle="1" w:styleId="CarcterCarcterCharCharCarcterCarcterCharCharCarcterCarcterCarcterCharCharCarcterCarcter1CharCharCarcterCarcterCharCarcterCarcterCarcterCharCharCarcterCarcterCharCarcterChar0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045C75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character" w:styleId="Hiperligao">
    <w:name w:val="Hyperlink"/>
    <w:basedOn w:val="Tipodeletrapredefinidodopargrafo"/>
    <w:uiPriority w:val="99"/>
    <w:unhideWhenUsed/>
    <w:rsid w:val="005451A2"/>
    <w:rPr>
      <w:color w:val="0000FF" w:themeColor="hyperlink"/>
      <w:u w:val="single"/>
    </w:rPr>
  </w:style>
  <w:style w:type="paragraph" w:customStyle="1" w:styleId="CarcterCarcterCharCharCarcterCarcterCharCharCarcterCarcterCarcterCharCharCarcterCarcter1CharCharCarcterCarcterCharCarcterCarcterCarcterCharCharCarcterCarcterCharCarcterChar1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6D00A4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0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37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37354"/>
  </w:style>
  <w:style w:type="paragraph" w:styleId="Rodap">
    <w:name w:val="footer"/>
    <w:basedOn w:val="Normal"/>
    <w:link w:val="RodapCarcter"/>
    <w:uiPriority w:val="99"/>
    <w:unhideWhenUsed/>
    <w:rsid w:val="00C37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37354"/>
  </w:style>
  <w:style w:type="paragraph" w:styleId="Textodebalo">
    <w:name w:val="Balloon Text"/>
    <w:basedOn w:val="Normal"/>
    <w:link w:val="TextodebaloCarcter"/>
    <w:uiPriority w:val="99"/>
    <w:semiHidden/>
    <w:unhideWhenUsed/>
    <w:rsid w:val="00C3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735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cter"/>
    <w:uiPriority w:val="34"/>
    <w:qFormat/>
    <w:rsid w:val="00F47B8E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47B8E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unhideWhenUsed/>
    <w:rsid w:val="00F47B8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F47B8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47B8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47B8E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30632A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30632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0632A"/>
    <w:rPr>
      <w:vertAlign w:val="superscript"/>
    </w:rPr>
  </w:style>
  <w:style w:type="paragraph" w:styleId="Avanodecorpodetexto2">
    <w:name w:val="Body Text Indent 2"/>
    <w:basedOn w:val="Normal"/>
    <w:link w:val="Avanodecorpodetexto2Carcter"/>
    <w:rsid w:val="003F6CC3"/>
    <w:pPr>
      <w:spacing w:after="120" w:line="480" w:lineRule="auto"/>
      <w:ind w:left="283"/>
    </w:pPr>
    <w:rPr>
      <w:rFonts w:ascii="Trebuchet MS" w:eastAsia="Times New Roman" w:hAnsi="Trebuchet MS" w:cs="Times New Roman"/>
      <w:sz w:val="18"/>
      <w:szCs w:val="24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3F6CC3"/>
    <w:rPr>
      <w:rFonts w:ascii="Trebuchet MS" w:eastAsia="Times New Roman" w:hAnsi="Trebuchet MS" w:cs="Times New Roman"/>
      <w:sz w:val="18"/>
      <w:szCs w:val="24"/>
    </w:rPr>
  </w:style>
  <w:style w:type="paragraph" w:customStyle="1" w:styleId="CarcterCarcterCharCharCarcterCarcterCharCharCarcterCarcterCarcterCharCharCarcterCarcter1CharCharCarcterCarcterCharCarcterCarcterCarcterCharCharCarcterCarcterCharCarcterChar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415478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character" w:customStyle="1" w:styleId="PargrafodaListaCarcter">
    <w:name w:val="Parágrafo da Lista Carácter"/>
    <w:link w:val="PargrafodaLista"/>
    <w:uiPriority w:val="34"/>
    <w:locked/>
    <w:rsid w:val="00045C75"/>
  </w:style>
  <w:style w:type="character" w:styleId="Nmerodepgina">
    <w:name w:val="page number"/>
    <w:basedOn w:val="Tipodeletrapredefinidodopargrafo"/>
    <w:rsid w:val="00045C75"/>
  </w:style>
  <w:style w:type="paragraph" w:customStyle="1" w:styleId="CarcterCarcterCharCharCarcterCarcterCharCharCarcterCarcterCarcterCharCharCarcterCarcter1CharCharCarcterCarcterCharCarcterCarcterCarcterCharCharCarcterCarcterCharCarcterChar0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045C75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character" w:styleId="Hiperligao">
    <w:name w:val="Hyperlink"/>
    <w:basedOn w:val="Tipodeletrapredefinidodopargrafo"/>
    <w:uiPriority w:val="99"/>
    <w:unhideWhenUsed/>
    <w:rsid w:val="005451A2"/>
    <w:rPr>
      <w:color w:val="0000FF" w:themeColor="hyperlink"/>
      <w:u w:val="single"/>
    </w:rPr>
  </w:style>
  <w:style w:type="paragraph" w:customStyle="1" w:styleId="CarcterCarcterCharCharCarcterCarcterCharCharCarcterCarcterCarcterCharCharCarcterCarcter1CharCharCarcterCarcterCharCarcterCarcterCarcterCharCharCarcterCarcterCharCarcterChar1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6D00A4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gadr.mamaot.pt/rec/sistema-de-reconhecimento-de-regant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03A1C.E446449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EAD5-3E16-4553-A98F-1F19FA5C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1762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Ivânia Ramos</dc:creator>
  <cp:lastModifiedBy>Ivânia Ramos</cp:lastModifiedBy>
  <cp:revision>5</cp:revision>
  <cp:lastPrinted>2017-03-10T16:00:00Z</cp:lastPrinted>
  <dcterms:created xsi:type="dcterms:W3CDTF">2017-03-10T15:57:00Z</dcterms:created>
  <dcterms:modified xsi:type="dcterms:W3CDTF">2017-03-10T16:01:00Z</dcterms:modified>
</cp:coreProperties>
</file>