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6E7140">
        <w:rPr>
          <w:rFonts w:asciiTheme="minorHAnsi" w:hAnsiTheme="minorHAnsi" w:cstheme="minorHAnsi"/>
          <w:b/>
          <w:sz w:val="22"/>
          <w:szCs w:val="22"/>
        </w:rPr>
        <w:t>REGIME DE APLICAÇÃO DO APOIO N.º 2.1.4, «AÇÕES DE INFORMAÇÃO», INSERIDO NA AÇÃO N.º 2.1, «CAPACITAÇÃO E DIVULGAÇÃO», DA MEDIDA N.º 2, «CONHECIMENTO», INTEGRADA NA ÁREA N.º 1, «INOVAÇÃO E CONHECIMENTO», DO PROGRAMA DE DESENVOLVIMENTO RURAL DO CONTINENTE, ABREVIADAMENTE DESIGNADO POR PDR 2020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6E7140">
        <w:rPr>
          <w:rFonts w:asciiTheme="minorHAnsi" w:hAnsiTheme="minorHAnsi" w:cstheme="minorHAnsi"/>
          <w:b/>
          <w:sz w:val="22"/>
          <w:szCs w:val="22"/>
        </w:rPr>
        <w:t>Portaria n.º 165/2015</w:t>
      </w:r>
      <w:r w:rsidR="0023215C">
        <w:rPr>
          <w:rFonts w:asciiTheme="minorHAnsi" w:hAnsiTheme="minorHAnsi" w:cstheme="minorHAnsi"/>
          <w:b/>
          <w:sz w:val="22"/>
          <w:szCs w:val="22"/>
        </w:rPr>
        <w:t>,</w:t>
      </w:r>
      <w:r w:rsidR="0023215C">
        <w:rPr>
          <w:rStyle w:val="Refdenotaderodap"/>
          <w:rFonts w:asciiTheme="minorHAnsi" w:hAnsiTheme="minorHAnsi" w:cstheme="minorHAnsi"/>
          <w:b/>
          <w:sz w:val="22"/>
          <w:szCs w:val="22"/>
        </w:rPr>
        <w:footnoteReference w:id="1"/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proofErr w:type="gramStart"/>
      <w:r w:rsidRPr="006E7140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6E7140">
        <w:rPr>
          <w:rFonts w:asciiTheme="minorHAnsi" w:hAnsiTheme="minorHAnsi" w:cstheme="minorHAnsi"/>
          <w:sz w:val="22"/>
          <w:szCs w:val="22"/>
        </w:rPr>
        <w:t xml:space="preserve"> 3 de junho</w:t>
      </w:r>
      <w:r w:rsidR="0023215C">
        <w:rPr>
          <w:rFonts w:asciiTheme="minorHAnsi" w:hAnsiTheme="minorHAnsi" w:cstheme="minorHAnsi"/>
          <w:sz w:val="22"/>
          <w:szCs w:val="22"/>
        </w:rPr>
        <w:t>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 Decreto-Lei n.º 137/2014, de 12 de setembro, estabeleceu o modelo de governação dos fundos europeus estruturais e de investimento (FEEI), entre os quais se inclui o Fundo Europeu Agrícola e de Desenvolvimento Rural (FEADER), e determinou a estruturação operacional deste fundo em três programas de desenvolvimento rural, um para o continente, designado PDR 2020, outro para a Região Autónoma dos Açores, designado PRORURAL+, e outro para a Região Autónoma da Madeira, designado PRODERAM 2020.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 PDR 2020 foi aprovado formalmente pela Comissão Europeia através da Decisão C (2014) 9896 final, de 12 de dezembro de 2014.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Na arquitetura do PDR 2020, à área relativa à «Inovação e conhecimento» corresponde uma visão da estratégia nacional para o desenvolvimento rural, no domínio da inovação e capacitação, que tem como objetivo estratégico o aumento da capacidade de inovação, de geração e transferência de conhecimento nos setores agrícola e florestal e nas zonas rurais.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Inserida na referida área encontra-se a medida «Conhecimento», que tem como objetivo melhorar a informação e capacitação técnica e empresarial dos ativos do setor agrícola, alimentar e florestal, tendo em vista a promoção do crescimento económico e o desenvolvimento das zonas rurais através da melhoria da sustentabilidade, competitividade, eficiência de recursos e desempenho ambiental das explorações e empresas.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Nesta medida, inscreve-se a ação «Capacitação e divulgação», que prevê a realização de ações de transferência de informação e de conhecimento, recorrendo a processos, linguagens e tempos de transmissão diferenciados, tendo em conta o perfil de habilitações dos ativos do setor, bem como um conjunto de necessidades a que as explorações e empresas têm de dar resposta para um bom desempenho e inserção nos mercados.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Assim, optou-se por regulamentar, desde já, os apoios relativos às ações de informação dirigidas a um público alargado, todos os ativos do setor, com o intuito de promover atividades de </w:t>
      </w:r>
      <w:r w:rsidRPr="006E7140">
        <w:rPr>
          <w:rFonts w:asciiTheme="minorHAnsi" w:hAnsiTheme="minorHAnsi" w:cstheme="minorHAnsi"/>
          <w:sz w:val="22"/>
          <w:szCs w:val="22"/>
        </w:rPr>
        <w:lastRenderedPageBreak/>
        <w:t>disseminação de informação relativa aos setores agrícola, agroalimentar e florestal, nomeadamente informação técnica, económica ou organizacional.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As ações de informação destinam-se a melhorar o desempenho dos ativos no setor, designadamente nos domínios da competitividade, da organização da produção, do ambiente e clima, e do desenvolvimento dos territórios rurais e podem assumir, nomeadamente, a forma de suporte de informação físico e eletrónico, reuniões, apresentações e exposições.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Neste contexto, importa considerar o contributo relevante do associativismo, enquanto forma de organização potenciadora e facilitadora do acesso à informação, ao permitir identificar as necessidades e fragilidades dos setores e, de forma estruturada e permanente, contribuir para a sua resposta através da melhoria do nível de informação dos produtores agrícolas e florestais, incluindo os seus recursos endógenos.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Assim: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Manda o Governo, pelo Secretário de Estado da Agricultura, ao abrigo da alínea b) do n.º 2 do artigo 5.º do Decreto-Lei n.º 159/2014, de 27 de outubro, e no uso das competências delegadas através do Despacho n.º 12256-A/2014, publicado no Diário da República, 2.ª série, n.º 191, de 3 de outubro de 2014, o seguinte: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CAPÍTULO I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Disposições gerais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Objeto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 presente portaria estabelece o regime de aplicação do apoio n.º 2.1.4, «Ações de informação», inserido na ação n.º 2.1, «Capacitação e divulgação», da medida n.º 2, «Conhecimento», integrada na área n.º 1, «Inovação e conhecimento», do Programa de Desenvolvimento Rural do Continente, abreviadamente designado por PDR 2020.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2.º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Objetivos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Os apoios previstos na presente portaria destinam-se a promover a realização de atividades de disseminação de informação técnica, económica e organizacional, designadamente, nos domínios da competitividade, da organização de produção, do ambiente e clima e do desenvolvimento dos territórios rurais.</w:t>
      </w:r>
    </w:p>
    <w:p w:rsidR="0023215C" w:rsidRPr="006E7140" w:rsidRDefault="0023215C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Artigo 3.º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Definições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Para efeitos de aplicação da presente portaria, e para além das definições constantes no artigo 3.º do Decreto-Lei n.º 159/2014, de 27 de outubro, entende-se </w:t>
      </w:r>
      <w:proofErr w:type="gramStart"/>
      <w:r w:rsidRPr="006E7140">
        <w:rPr>
          <w:rFonts w:asciiTheme="minorHAnsi" w:hAnsiTheme="minorHAnsi" w:cstheme="minorHAnsi"/>
          <w:sz w:val="22"/>
          <w:szCs w:val="22"/>
        </w:rPr>
        <w:t>por</w:t>
      </w:r>
      <w:proofErr w:type="gramEnd"/>
      <w:r w:rsidRPr="006E7140">
        <w:rPr>
          <w:rFonts w:asciiTheme="minorHAnsi" w:hAnsiTheme="minorHAnsi" w:cstheme="minorHAnsi"/>
          <w:sz w:val="22"/>
          <w:szCs w:val="22"/>
        </w:rPr>
        <w:t>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a) «Âmbito </w:t>
      </w:r>
      <w:proofErr w:type="spellStart"/>
      <w:r w:rsidRPr="006E7140">
        <w:rPr>
          <w:rFonts w:asciiTheme="minorHAnsi" w:hAnsiTheme="minorHAnsi" w:cstheme="minorHAnsi"/>
          <w:sz w:val="22"/>
          <w:szCs w:val="22"/>
        </w:rPr>
        <w:t>plurirregional</w:t>
      </w:r>
      <w:proofErr w:type="spellEnd"/>
      <w:r w:rsidRPr="006E7140">
        <w:rPr>
          <w:rFonts w:asciiTheme="minorHAnsi" w:hAnsiTheme="minorHAnsi" w:cstheme="minorHAnsi"/>
          <w:sz w:val="22"/>
          <w:szCs w:val="22"/>
        </w:rPr>
        <w:t>», a área geográfica que abranja, no mínimo, a área de uma NUTS I;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«Ativos dos setores da produção, transformação ou comercialização de produtos agrícolas e do setor florestal», abreviadamente designados por «ativos dos setores agrícola e florestal», as pessoas singulares, gerentes ou empresários que desenvolvam atividade nestes setores, e ainda mão-de-obra agrícola familiar e trabalhadores agrícolas e eventuais;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c) «Produtos agrícolas», os produtos abrangidos pelo anexo i do Tratado de Funcionamento da União Europeia, com exceção dos produtos da pesca e da aquicultura abrangidos pelo </w:t>
      </w:r>
      <w:hyperlink r:id="rId7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1379/2013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do Parlamento Europeu e do Conselho, de 11 de dezembro de 2013.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4.º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Auxílios de Estado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1 - Os apoios previstos na presente portaria para o setor florestal são concedidos nas condições constantes do artigo 38.º do </w:t>
      </w:r>
      <w:hyperlink r:id="rId8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702/2014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 xml:space="preserve"> da Comissão, de 25 de junho de 2014, que declara certas categorias de auxílios no setor agrícola e florestal e nas zonas rurais compatíveis com o mercado comum, em aplicação dos artigos 107.º e 108.º do Tratado.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Os apoios concedidos são divulgados no portal do Gabinete de Planeamento, Políticas e Administração Geral, em www.gpp.pt, através de hiperligações às páginas eletrónicas das entidades relevantes.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CAPÍTULO II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«Ações de informação»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5.º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Beneficiários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Podem beneficiar dos apoios previstos na presente portaria as seguintes entidades: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Confederações de cooperativas, constituídas ao abrigo do artigo 86.º da Lei n.º 51/96, de 7 de setembro, retificada pela Declaração de Retificação n.º 15/96, de 2 de outubro, alterada pelos Decretos-Leis n.º 343/98, de 6 de novembro, n.º 131/99, de 21 de abril, n.º 108/2001, de 6 de abril, e n.º 204/2004, de 19 de agosto, com funções na área do apoio técnico agrícola ou florestal;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 xml:space="preserve">b) Cooperativas agrícolas ou florestais e suas uniões e federações, de âmbito nacional ou </w:t>
      </w:r>
      <w:proofErr w:type="spellStart"/>
      <w:r w:rsidRPr="006E7140">
        <w:rPr>
          <w:rFonts w:asciiTheme="minorHAnsi" w:hAnsiTheme="minorHAnsi" w:cstheme="minorHAnsi"/>
          <w:sz w:val="22"/>
          <w:szCs w:val="22"/>
        </w:rPr>
        <w:t>plurirregional</w:t>
      </w:r>
      <w:proofErr w:type="spellEnd"/>
      <w:r w:rsidRPr="006E7140">
        <w:rPr>
          <w:rFonts w:asciiTheme="minorHAnsi" w:hAnsiTheme="minorHAnsi" w:cstheme="minorHAnsi"/>
          <w:sz w:val="22"/>
          <w:szCs w:val="22"/>
        </w:rPr>
        <w:t>, criadas ao abrigo do Código Cooperativo e nos termos do Decreto-Lei n.º 335/99, de 20 de agosto, que desenvolvam atividades na área do apoio técnico agrícola ou florestal;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c) Pessoas coletivas de carácter associativo, de âmbito nacional ou </w:t>
      </w:r>
      <w:proofErr w:type="spellStart"/>
      <w:r w:rsidRPr="006E7140">
        <w:rPr>
          <w:rFonts w:asciiTheme="minorHAnsi" w:hAnsiTheme="minorHAnsi" w:cstheme="minorHAnsi"/>
          <w:sz w:val="22"/>
          <w:szCs w:val="22"/>
        </w:rPr>
        <w:t>plurirregional</w:t>
      </w:r>
      <w:proofErr w:type="spellEnd"/>
      <w:r w:rsidRPr="006E7140">
        <w:rPr>
          <w:rFonts w:asciiTheme="minorHAnsi" w:hAnsiTheme="minorHAnsi" w:cstheme="minorHAnsi"/>
          <w:sz w:val="22"/>
          <w:szCs w:val="22"/>
        </w:rPr>
        <w:t>, constituídas ao abrigo dos artigos 167.º e seguintes do Código Civil, que tenham como objetivo o desenvolvimento agrícola e rural;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d) Centros operativos e tecnológicos dos setores agrícolas, florestal ou agroalimentar.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São excluídas dos apoios previstos na presente portaria, no que se refere ao setor florestal, as entidades: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a) Que sejam consideradas empresas em dificuldade na aceção do ponto 14 do artigo 2.º do </w:t>
      </w:r>
      <w:hyperlink r:id="rId9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702/2014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 xml:space="preserve"> da Comissão, de 25 de junho de 2014, que declara certas categorias de auxílios no setor agrícola e florestal e nas zonas rurais compatíveis com o mercado comum, em aplicação dos artigos 107.º e 108.º do Tratado;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Sobre as quais impenda um processo de recuperação de auxílios de Estado, declarados incompatíveis com o mercado interno, pela Comissão Europeia.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6.º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Critérios de elegibilidade dos beneficiários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Os candidatos aos apoios previstos na presente portaria, sem prejuízo dos critérios de elegibilidade previstos no artigo 13.º do Decreto-Lei n.º 159/2014, de 27 de outubro, devem reunir as seguintes condições à data de apresentação da candidatura: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Encontrarem-se legalmente constituídos;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Terem a situação tributária e contributiva regularizada perante a administração fiscal e a segurança social, sem prejuízo do disposto no n.º 2;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c) Terem a situação regularizada em matéria de reposições no âmbito do financiamento do FEADER e do Fundo Europeu Agrícola de Garantia (FEAGA), ou terem constituído garantia a favor do Instituto de Financiamento da Agricultura e Pescas, I. P. (IFAP, I. P.);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d) Não terem sido condenados em processo-crime por factos que envolvam disponibilidades financeiras no âmbito do FEADER e do FEAGA;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e) Deterem um sistema de contabilidade organizada ou simplificada, nos termos da legislação em vigor;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f) Disporem de meios materiais necessários à realização das atividades que se propõem realizar;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g) Disporem de recursos humanos suficientes à realização das atividades propostas no plano de ação, com habilitação nas áreas de informação a transferir, conferida por grau académico e </w:t>
      </w:r>
      <w:r w:rsidRPr="006E7140">
        <w:rPr>
          <w:rFonts w:asciiTheme="minorHAnsi" w:hAnsiTheme="minorHAnsi" w:cstheme="minorHAnsi"/>
          <w:sz w:val="22"/>
          <w:szCs w:val="22"/>
        </w:rPr>
        <w:lastRenderedPageBreak/>
        <w:t>competências pedagógicas, quando aplicável, e experiência profissional não inferior a três anos ou formação profissional relevante obtida nos últimos cinco anos.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A condição prevista na alínea b) do n.º 1 pode ser aferida até à data de apresentação do primeiro pedido de pagamento.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7.º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Critérios de elegibilidade das operações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Podem beneficiar dos apoios previstos na presente portaria as operações que se enquadrem nos objetivos do artigo 2.º e que reúnam as seguintes condições: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Apresentem um plano de ação, com uma duração entre 12 e 36 meses, que especifique a área geográfica abrangida e que contenha a descrição e calendarização das atividades a empreender, identificação dos destinatários e objetivos a atingir, bem como dos recursos humanos e materiais envolvidos, devendo essas atividades ser promovidas em benefício de ativos dos setores agrícola e florestal;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Não sejam desenvolvidas a favor de pessoas que exerçam atividade de forma permanente para o candidato, tenham ou não vínculo laboral com este.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8.º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Despesas elegíveis e não elegíveis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As despesas elegíveis e não elegíveis são, designadamente, as constantes do anexo i à presente portaria e que dela faz parte integrante.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9.º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Critérios de seleção das candidaturas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Para efeitos de seleção de candidaturas aos apoios previstos na presente portaria, são considerados, designadamente, os seguintes critérios: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Diversidade e relevância da tipologia das atividades propostas no plano de ação;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Abrangência do plano de ação, em termos territoriais e de público-alvo, face aos objetivos a atingir;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c) Experiência e qualificação dos candidatos.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A hierarquização dos critérios constantes do número anterior, bem como os respetivos fatores, fórmulas, ponderação e critérios de desempate, são definidos pela autoridade de gestão e divulgados no portal do PDR 2020 em www.pdr-2020.pt, no respetivo anúncio do período de apresentação de candidaturas.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Artigo 10.º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Obrigações dos beneficiários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Os beneficiários dos apoios previstos na presente portaria, além das obrigações enunciadas no artigo 24.º do Decreto-Lei n.º 159/2014, de 27 de outubro, são obrigados a: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Executar a operação nos termos e condições aprovados;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Cumprir os normativos legais em matéria de contratação pública relativamente à execução das atividades, quando aplicável;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c) Proceder à publicitação dos apoios que lhes forem atribuídos, nos termos da legislação comunitária aplicável e das orientações técnicas do PDR 2020;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d) Manter a situação tributária e contributiva regularizada perante a administração fiscal e a segurança social, a qual é aferida em cada pedido de pagamento;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e) Manter um sistema de contabilidade organizada ou simplificada, nos termos da legislação em vigor;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f) Garantir que todos os pagamentos e recebimentos referentes à operação são efetuados através de conta bancária única, ainda que não exclusiva, do beneficiário, exceto em situações devidamente justificadas;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g) Dispor de um processo relativo à operação, devidamente organizado, nos termos a definir em orientação técnica específica (OTE), preferencialmente em suporte digital, com toda a documentação relacionada com a mesma devidamente organizada, incluindo o suporte de um sistema de contabilidade para todas as transações referentes à operação;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h) Apresentar à autoridade de gestão, nos termos a definir em OTE, relatório final de execução do plano de ação e, quando o plano de ação tenha uma duração superior a 24 meses, relatório de progresso 18 meses após o início da operação;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i) Conservar os documentos relativos à realização da operação, sob a forma de documentos originais ou de cópias autenticadas, em suporte digital, quando legalmente admissível, ou em papel, durante o prazo de três anos, a contar da data do encerramento ou da aceitação da Comissão Europeia sobre a declaração de encerramento do PDR 2020, consoante a fase em que o encerramento da operação tenha sido incluído, ou pelo prazo fixado na legislação nacional aplicável ou na legislação específica em matéria de auxílios de Estado, se estas fixarem prazo superior;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j) Adotar comportamentos que respeitem os princípios da transparência, da concorrência e da boa gestão dos dinheiros públicos, de modo a prevenir situações suscetíveis de configurar conflito de interesses, designadamente, nas relações estabelecidas entre os beneficiários e os seus fornecedores ou prestadores de serviços.</w:t>
      </w:r>
    </w:p>
    <w:p w:rsidR="006D593F" w:rsidRPr="001F07DB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1F07DB">
        <w:rPr>
          <w:rFonts w:asciiTheme="minorHAnsi" w:hAnsiTheme="minorHAnsi" w:cstheme="minorHAnsi"/>
          <w:sz w:val="22"/>
          <w:szCs w:val="22"/>
        </w:rPr>
        <w:lastRenderedPageBreak/>
        <w:t>k) Comprovar o início da execução física da operação no prazo definido para o efeito, através da apresentação, no mesmo prazo, de pedido de pagamento, não incluindo o pedido de pagamento a título de adiantamento.</w:t>
      </w:r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1F07DB">
        <w:rPr>
          <w:rFonts w:asciiTheme="minorHAnsi" w:hAnsiTheme="minorHAnsi" w:cstheme="minorHAnsi"/>
          <w:sz w:val="22"/>
          <w:szCs w:val="22"/>
        </w:rPr>
        <w:t>2 - Em casos excecionais e devidamente justificados, o gestor pode autorizar a prorrogação do prazo estabelecido na alínea k) do número anterior.</w:t>
      </w:r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11.º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Forma, nível e limites do apoio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Os apoios previstos na presente portaria são concedidos sob a forma de subvenção não reembolsável.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Os apoios a conceder estão limitados a 75 % da despesa total elegível, até aos seguintes limites máximos por beneficiário: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Dois milhões de euros, no caso dos beneficiários previstos nas alíneas a) e c) do n.º 1 do artigo 5.º, de âmbito nacional, com representação oficial junto da Comissão Europeia, para planos de ação de 36 meses;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b) 300 000 </w:t>
      </w:r>
      <w:proofErr w:type="gramStart"/>
      <w:r w:rsidRPr="006E7140">
        <w:rPr>
          <w:rFonts w:asciiTheme="minorHAnsi" w:hAnsiTheme="minorHAnsi" w:cstheme="minorHAnsi"/>
          <w:sz w:val="22"/>
          <w:szCs w:val="22"/>
        </w:rPr>
        <w:t>euros</w:t>
      </w:r>
      <w:proofErr w:type="gramEnd"/>
      <w:r w:rsidRPr="006E7140">
        <w:rPr>
          <w:rFonts w:asciiTheme="minorHAnsi" w:hAnsiTheme="minorHAnsi" w:cstheme="minorHAnsi"/>
          <w:sz w:val="22"/>
          <w:szCs w:val="22"/>
        </w:rPr>
        <w:t>, nos restantes casos.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3 - As despesas gerais decorrentes da organização e realização da ação de informação previstas no anexo i, classificadas como custos indiretos, assumem a modalidade de custos simplificados, sendo determinadas por aplicação de uma taxa fixa de 3 % das despesas com pessoal, de acordo com o previsto na subalínea </w:t>
      </w:r>
      <w:proofErr w:type="spellStart"/>
      <w:r w:rsidRPr="006E7140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6E7140">
        <w:rPr>
          <w:rFonts w:asciiTheme="minorHAnsi" w:hAnsiTheme="minorHAnsi" w:cstheme="minorHAnsi"/>
          <w:sz w:val="22"/>
          <w:szCs w:val="22"/>
        </w:rPr>
        <w:t>) da alínea e) do n.º 2 do artigo 7.º do Decreto-Lei n.º 159/2014, de 27 de outubro.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CAPÍTULO III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Procedimento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12.º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Apresentação das candidaturas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São estabelecidos períodos para apresentação de candidaturas, de acordo com o plano de abertura de candidaturas previsto na alínea m) do n.º 1 do artigo 31.º do Decreto-Lei n.º 137/2014, de 12 de setembro, sendo o mesmo divulgado no portal do Portugal 2020, em www.portugal2020.pt, e no portal do PDR 2020, em www.pdr-2020.pt, e publicitado em dois órgãos de comunicação social.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2 - A apresentação das candidaturas efetua-se através da submissão de formulário eletrónico disponível no portal do Portugal 2020, em www.portugal2020.pt, ou no portal do PDR 2020, em www.pdr-2020.pt, e estão sujeitos a confirmação por via eletrónica, a efetuar pela autoridade de gestão, considerando-se a data de submissão como a data de apresentação da candidatura.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13.º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Anúncios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Os anúncios dos períodos de apresentação das candidaturas são aprovados pelo gestor, após audição da comissão de gestão, e indicam, nomeadamente, o seguinte: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Os objetivos e as prioridades visadas;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A tipologia das atividades a apoiar;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c) A dotação orçamental a atribuir;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d) O número máximo de candidaturas admitidas por beneficiário;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e) Os critérios de seleção e respetivos fatores, fórmulas, ponderação e critério de desempate, em função dos objetivos e prioridades fixados, bem como a pontuação mínima para seleção;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f) A forma, o nível e os limites dos apoios a conceder, respeitando o disposto no artigo 11.º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Os anúncios dos períodos de apresentação das candidaturas são divulgados no portal do Portugal 2020, em www.portugal2020.pt, e no portal do PDR 2020, em www.pdr-2020.pt, e publicitados em dois órgãos de comunicação social.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14.º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Análise e decisão das candidaturas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A autoridade de gestão analisa e emite parecer sobre as candidaturas, do qual constam a apreciação do cumprimento dos critérios de elegibilidade da operação e do beneficiário, bem como a aplicação dos fatores referidos no artigo 9.º, o apuramento do montante do custo total elegível e o nível de apoio previsional.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Sem prejuízo do disposto no n.º 3 do artigo 11.º do Decreto-Lei n.º 159/2014, de 27 de outubro, são solicitados aos candidatos, quando se justifique, os documentos exigidos no formulário de candidatura ou elementos complementares, constituindo a falta de entrega dos mesmos ou a ausência de resposta fundamento para a não aprovação da candidatura.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3 - O parecer referido no n.º 1 é emitido num prazo máximo de 45 dias úteis contados a partir da data limite de apresentação das candidaturas.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4 - O secretariado técnico aplica os critérios de seleção em função do princípio da coesão territorial e da dotação orçamental referida no respetivo anúncio, e submete à decisão do gestor a aprovação das candidaturas.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5 - Antes de ser adotada a decisão final, os candidatos são ouvidos, nos termos do Código do Procedimento Administrativo, designadamente quanto à eventual intenção de indeferimento total ou parcial e respetivos fundamentos.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6 - As candidaturas são objeto de decisão pelo gestor no prazo de sessenta dias úteis contados a partir da data limite para a respetiva apresentação, após audição da comissão de gestão, sendo a mesma comunicada aos candidatos pela autoridade de gestão, no prazo máximo de cinco dias úteis a contar da data da sua emissão.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15.º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Transição das candidaturas</w:t>
      </w:r>
    </w:p>
    <w:p w:rsidR="006D593F" w:rsidRPr="00330E77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i/>
          <w:sz w:val="22"/>
          <w:szCs w:val="22"/>
        </w:rPr>
      </w:pPr>
      <w:r w:rsidRPr="00330E77">
        <w:rPr>
          <w:rFonts w:asciiTheme="minorHAnsi" w:hAnsiTheme="minorHAnsi" w:cstheme="minorHAnsi"/>
          <w:i/>
          <w:sz w:val="22"/>
          <w:szCs w:val="22"/>
        </w:rPr>
        <w:t>(revogado)</w:t>
      </w:r>
      <w:r>
        <w:rPr>
          <w:rStyle w:val="Refdenotaderodap"/>
          <w:rFonts w:asciiTheme="minorHAnsi" w:hAnsiTheme="minorHAnsi" w:cstheme="minorHAnsi"/>
          <w:i/>
          <w:sz w:val="22"/>
          <w:szCs w:val="22"/>
        </w:rPr>
        <w:footnoteReference w:id="4"/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16.º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Termo de aceitação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A aceitação do apoio é efetuada mediante submissão eletrónica e autenticação de termo de aceitação, nos termos do artigo 11.º do Decreto-Lei n.º 159/2014, de 27 de outubro, de acordo com os procedimentos aprovados pelo IFAP, I. P., e divulgados no seu portal, em www.ifap.pt.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 beneficiário dispõe de 30 dias úteis para a submissão eletrónica do termo de aceitação, sob pena de caducidade da decisão de aprovação da candidatura, nos termos do disposto no n.º 2 do artigo 21.º do Decreto-Lei n.º 159/2014, de 27 de outubro, salvo motivo justificado não imputável ao beneficiário e aceite pela autoridade de gestão.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17.º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Execução das operações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A execução física da operação deve ser iniciada no prazo de 6 meses contados a partir da data da submissão autenticada do termo de aceitação e concluída no prazo estipulado no plano de ação aprovado.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2 - Em casos excecionais e devidamente justificados, o gestor pode autorizar a prorrogação dos prazos previstos no número anterior.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18.º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Apresentação dos pedidos de pagamento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A apresentação dos pedidos de pagamento efetua-se através de submissão de formulário eletrónico disponível no portal do Portugal 2020, em www.portugal2020.pt, e no portal do IFAP, I. P., em www.ifap.pt, considerando-se a data de submissão como a data de apresentação do pedido de pagamento.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 pedido de pagamento reporta-se às despesas efetivamente realizadas e pagas, devendo os respetivos comprovativos e demais documentos que o integram ser submetidos eletronicamente, de acordo com os procedimentos aprovados pelo IFAP, I. P., e divulgados no respetivo portal, em www.ifap.pt.</w:t>
      </w:r>
    </w:p>
    <w:p w:rsidR="006D593F" w:rsidRPr="00036B7E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3 - Apenas são aceites os pedidos de pagamentos relativos a despesas pagas por transferência bancária</w:t>
      </w:r>
      <w:r w:rsidRPr="00036B7E">
        <w:rPr>
          <w:rFonts w:asciiTheme="minorHAnsi" w:hAnsiTheme="minorHAnsi" w:cstheme="minorHAnsi"/>
          <w:sz w:val="22"/>
          <w:szCs w:val="22"/>
        </w:rPr>
        <w:t>, débito em conta ou cheque, comprovados por extrato bancário, nos termos previstos no termo de aceitação e nos números seguintes.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036B7E">
        <w:rPr>
          <w:rFonts w:asciiTheme="minorHAnsi" w:hAnsiTheme="minorHAnsi" w:cstheme="minorHAnsi"/>
          <w:sz w:val="22"/>
          <w:szCs w:val="22"/>
        </w:rPr>
        <w:t xml:space="preserve">4 - </w:t>
      </w:r>
      <w:r w:rsidR="00036B7E" w:rsidRPr="00036B7E">
        <w:rPr>
          <w:rFonts w:asciiTheme="minorHAnsi" w:hAnsiTheme="minorHAnsi" w:cstheme="minorHAnsi"/>
          <w:color w:val="333333"/>
          <w:sz w:val="22"/>
          <w:szCs w:val="22"/>
        </w:rPr>
        <w:t>Podem ser apresentados até quatro pedidos de pagamento por candidatura aprovada, não incluindo o pedido de pagamento a título de adiantamento</w:t>
      </w:r>
      <w:r w:rsidRPr="006E7140">
        <w:rPr>
          <w:rFonts w:asciiTheme="minorHAnsi" w:hAnsiTheme="minorHAnsi" w:cstheme="minorHAnsi"/>
          <w:sz w:val="22"/>
          <w:szCs w:val="22"/>
        </w:rPr>
        <w:t>.</w:t>
      </w:r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5"/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5 - O último pedido de pagamento deve ser submetido no prazo máximo de 90 dias a contar da data de conclusão do plano de ação, sendo o respetivo pagamento efetuado após aprovação pela autoridade de gestão do relatório final de execução, sob pena de indeferimento.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6 - Em casos excecionais e devidamente justificados, o IFAP, I. P., pode autorizar a prorrogação do prazo estabelecido no número anterior.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7 - No ano do encerramento do PDR 2020, o último pedido de pagamento deve ser submetido até seis meses antes da respetiva data de encerramento, a qual é divulgada no portal do IFAP, I. P., em www.ifap.pt, e no portal do PDR 2020, em www.pdr-2020.pt.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8 - O disposto nos n.</w:t>
      </w:r>
      <w:r>
        <w:rPr>
          <w:rFonts w:asciiTheme="minorHAnsi" w:hAnsiTheme="minorHAnsi" w:cstheme="minorHAnsi"/>
          <w:sz w:val="22"/>
          <w:szCs w:val="22"/>
        </w:rPr>
        <w:t>º</w:t>
      </w:r>
      <w:r w:rsidRPr="006E7140">
        <w:rPr>
          <w:rFonts w:asciiTheme="minorHAnsi" w:hAnsiTheme="minorHAnsi" w:cstheme="minorHAnsi"/>
          <w:sz w:val="22"/>
          <w:szCs w:val="22"/>
        </w:rPr>
        <w:t>s 2 e 3 não é aplicável às despesas gerais decorrentes da organização e realização da ação de informação, classificadas como custos indiretos, as quais decorrem das despesas com pessoal apresentadas no pedido de pagamento.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19.º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Análise e decisão dos pedidos de pagamento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O IFAP, I. P., ou as entidades a quem este delegar poderes para o efeito, analisam os pedidos de pagamento e emitem parecer.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Podem ser solicitados aos beneficiários elementos complementares, constituindo a falta de entrega dos mesmos ou a ausência de resposta fundamento para a não aprovação do pedido.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3 - Do parecer referido no n.º 1 resulta o apuramento da despesa elegível, o montante a pagar ao beneficiário e a validação da despesa constante do respetivo pedido de pagamento.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4 - O IFAP, I. P., após a receção do parecer referido nos números anteriores, adota os procedimentos necessários ao respetivo pagamento.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5 - Os critérios de realização das visitas ao local da operação, durante o seu período de execução, são definidos de acordo com o disposto no </w:t>
      </w:r>
      <w:hyperlink r:id="rId10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1306/2013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do Parlamento Europeu e do Conselho, de 17 de dezembro de 2013.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20.º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Pagamentos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Os pagamentos dos apoios são efetuados pelo IFAP, I. P. de acordo com o calendário anual definido antes do início de cada ano civil, o qual é divulgado no respetivo portal, em www.ifap.pt.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Os pagamentos dos apoios são efetuados por transferência bancária, para a conta referida na alínea f) do artigo 10.º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21.º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Controlo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A operação, incluindo a candidatura e os pedidos de pagamento, está sujeita a ações de controlo administrativo e in loco a partir da data de submissão autenticada do termo de aceitação, nos termos previstos no </w:t>
      </w:r>
      <w:hyperlink r:id="rId11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1306/2013</w:t>
        </w:r>
      </w:hyperlink>
      <w:r w:rsidRPr="006E7140">
        <w:rPr>
          <w:rFonts w:asciiTheme="minorHAnsi" w:hAnsiTheme="minorHAnsi" w:cstheme="minorHAnsi"/>
          <w:sz w:val="22"/>
          <w:szCs w:val="22"/>
        </w:rPr>
        <w:t xml:space="preserve">, do Parlamento Europeu e do Conselho, de 17 de dezembro de 2013, no Regulamento Delegado (UE) n.º </w:t>
      </w:r>
      <w:hyperlink r:id="rId12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640/2014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 xml:space="preserve">, da Comissão, de 11 de março de 2014, no Regulamento de Execução (UE) n.º </w:t>
      </w:r>
      <w:hyperlink r:id="rId13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809/2014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da Comissão, de 17 de julho de 2014, e demais legislação aplicável.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22.º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Reduções e exclusões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 xml:space="preserve">1 - Os apoios objeto da presente portaria estão sujeitos às reduções e exclusões previstas no </w:t>
      </w:r>
      <w:hyperlink r:id="rId14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1306/2013</w:t>
        </w:r>
      </w:hyperlink>
      <w:r w:rsidRPr="006E7140">
        <w:rPr>
          <w:rFonts w:asciiTheme="minorHAnsi" w:hAnsiTheme="minorHAnsi" w:cstheme="minorHAnsi"/>
          <w:sz w:val="22"/>
          <w:szCs w:val="22"/>
        </w:rPr>
        <w:t xml:space="preserve">, do Parlamento Europeu e do Conselho, de 17 de dezembro de 2013, no Regulamento Delegado (UE) n.º </w:t>
      </w:r>
      <w:hyperlink r:id="rId15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640/2014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 xml:space="preserve">, da Comissão, de 11 de março de 2014, no Regulamento de Execução (UE) n.º </w:t>
      </w:r>
      <w:hyperlink r:id="rId16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809/2014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da Comissão, de 17 de julho de 2014, e demais legislação aplicável.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2 - A aplicação de reduções e exclusões dos apoios concedidos ou a conceder, em caso de incumprimento das obrigações dos beneficiários previstas no artigo 10.º da presente portaria e no artigo 24.º do Decreto-Lei n.º 159/2014, de 27 de outubro, é efetuada de acordo com o previsto no anexo </w:t>
      </w:r>
      <w:proofErr w:type="spellStart"/>
      <w:r w:rsidRPr="006E7140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6E7140">
        <w:rPr>
          <w:rFonts w:asciiTheme="minorHAnsi" w:hAnsiTheme="minorHAnsi" w:cstheme="minorHAnsi"/>
          <w:sz w:val="22"/>
          <w:szCs w:val="22"/>
        </w:rPr>
        <w:t xml:space="preserve"> à presente portaria, que dela faz parte integrante.</w:t>
      </w:r>
    </w:p>
    <w:p w:rsidR="006D593F" w:rsidRPr="00463BB5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463BB5">
        <w:rPr>
          <w:rFonts w:asciiTheme="minorHAnsi" w:hAnsiTheme="minorHAnsi" w:cstheme="minorHAnsi"/>
          <w:sz w:val="22"/>
          <w:szCs w:val="22"/>
        </w:rPr>
        <w:t>3 - O incumprimento dos critérios de elegibilidade constitui fundamento suscetível de determinar a devolução da totalidade dos apoios recebidos.</w:t>
      </w:r>
    </w:p>
    <w:p w:rsidR="006D593F" w:rsidRPr="00463BB5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463BB5">
        <w:rPr>
          <w:rFonts w:asciiTheme="minorHAnsi" w:hAnsiTheme="minorHAnsi" w:cstheme="minorHAnsi"/>
          <w:sz w:val="22"/>
          <w:szCs w:val="22"/>
        </w:rPr>
        <w:t>4 - A omissão ou prestação de falsas informações, para efeitos da aplicação dos critérios de seleção nas condições definidas no aviso de abertura do concurso, determina a exclusão da candidatura ou a anulação administrativa da decisão de aprovação e respetiva devolução da totalidade dos apoios recebidos.</w:t>
      </w:r>
      <w:r w:rsidRPr="00463BB5">
        <w:rPr>
          <w:rStyle w:val="Refdenotaderodap"/>
          <w:rFonts w:asciiTheme="minorHAnsi" w:hAnsiTheme="minorHAnsi" w:cstheme="minorHAnsi"/>
          <w:sz w:val="22"/>
          <w:szCs w:val="22"/>
        </w:rPr>
        <w:footnoteReference w:id="6"/>
      </w:r>
    </w:p>
    <w:p w:rsidR="006D593F" w:rsidRPr="00463BB5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463BB5">
        <w:rPr>
          <w:rFonts w:asciiTheme="minorHAnsi" w:hAnsiTheme="minorHAnsi" w:cstheme="minorHAnsi"/>
          <w:sz w:val="22"/>
          <w:szCs w:val="22"/>
        </w:rPr>
        <w:t>5 - O incumprimento, à data da apresentação do último pedido de pagamento, de um ou mais dos critérios de seleção contratualmente fixados como condicionantes de verificação obrigatória, determina a redução dos pagamentos efetuados ou a pagar em 25 %, incluindo a perda de majoração associada, quando aplicável.</w:t>
      </w:r>
      <w:r w:rsidRPr="00463BB5">
        <w:rPr>
          <w:rStyle w:val="Refdenotaderodap"/>
          <w:rFonts w:asciiTheme="minorHAnsi" w:hAnsiTheme="minorHAnsi" w:cstheme="minorHAnsi"/>
          <w:sz w:val="22"/>
          <w:szCs w:val="22"/>
        </w:rPr>
        <w:footnoteReference w:id="7"/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463BB5">
        <w:rPr>
          <w:rFonts w:asciiTheme="minorHAnsi" w:hAnsiTheme="minorHAnsi" w:cstheme="minorHAnsi"/>
          <w:sz w:val="22"/>
          <w:szCs w:val="22"/>
        </w:rPr>
        <w:t xml:space="preserve">6 - À recuperação dos montantes indevidamente recebidos, designadamente por incumprimento dos critérios de elegibilidade ou de obrigações dos beneficiários, aplica-se o disposto no artigo 7.º do Regulamento de Execução (UE) n.º </w:t>
      </w:r>
      <w:hyperlink r:id="rId17" w:tgtFrame="_blank" w:tooltip="Link para Regulamento da União Europeia" w:history="1">
        <w:r w:rsidRPr="00463BB5">
          <w:rPr>
            <w:rFonts w:asciiTheme="minorHAnsi" w:hAnsiTheme="minorHAnsi" w:cstheme="minorHAnsi"/>
            <w:sz w:val="22"/>
            <w:szCs w:val="22"/>
          </w:rPr>
          <w:t>809/2014</w:t>
        </w:r>
      </w:hyperlink>
      <w:r w:rsidRPr="00463BB5">
        <w:rPr>
          <w:rFonts w:asciiTheme="minorHAnsi" w:hAnsiTheme="minorHAnsi" w:cstheme="minorHAnsi"/>
          <w:sz w:val="22"/>
          <w:szCs w:val="22"/>
        </w:rPr>
        <w:t>, da Comissão, de 17 de julho de 2014, no artigo 26.º do Decreto-Lei n.º 159/2014, de 27 de outubro, no artigo 12.º do Decreto-Lei n.º 195/2012, de 13 de agosto, e na demais legislação aplicável.</w:t>
      </w:r>
      <w:r w:rsidRPr="00463BB5">
        <w:rPr>
          <w:rStyle w:val="Refdenotaderodap"/>
          <w:rFonts w:asciiTheme="minorHAnsi" w:hAnsiTheme="minorHAnsi" w:cstheme="minorHAnsi"/>
          <w:sz w:val="22"/>
          <w:szCs w:val="22"/>
        </w:rPr>
        <w:footnoteReference w:id="8"/>
      </w:r>
    </w:p>
    <w:p w:rsidR="006D593F" w:rsidRPr="00463BB5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A13C26">
        <w:rPr>
          <w:rFonts w:asciiTheme="minorHAnsi" w:hAnsiTheme="minorHAnsi" w:cstheme="minorHAnsi"/>
          <w:sz w:val="22"/>
          <w:szCs w:val="22"/>
        </w:rPr>
        <w:t>7 - A não comprovação do início da execução física da operação no prazo previsto na alínea k) do n.º 1 do artigo 10.º ou no n.º 2 do artigo 10.º, quando aplicável, constitui fundamento suscetível de determinar a</w:t>
      </w:r>
      <w:r>
        <w:rPr>
          <w:rFonts w:asciiTheme="minorHAnsi" w:hAnsiTheme="minorHAnsi" w:cstheme="minorHAnsi"/>
          <w:sz w:val="22"/>
          <w:szCs w:val="22"/>
        </w:rPr>
        <w:t xml:space="preserve"> revogação do apoio à operação.</w:t>
      </w:r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9"/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Artigo 23.º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Entrada em vigor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 presente portaria entra em vigor 10 dias após a sua publicação.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O Secretário de Estado da Agricultura, José Diogo Santiago de Albuquerque, em 18 de maio de 2015.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ANEXO I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Despesas elegíveis e não elegíveis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(a que se referem os artigos 8.º e 11.º)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Despesas elegíveis da ação n.º 2.1.4, «Ações de informação»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Custos decorrentes da organização e realização das ações de informação: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A) Custos diretos com pessoal: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Remunerações ou partes de remunerações e respetivos encargos associados, em condições a definir em OTE, dos técnicos e outro pessoal, afetos à ação de informação.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B) Outros custos diretos: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Deslocações, alojamento e ajudas de custo - Despesas com deslocações, alojamento e ajudas de custo, nos termos e até aos limites legais fixados para os trabalhadores que exercem funções públicas.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3 - Espaços, bens e equipamentos - Aluguer dos espaços onde decorrem as atividades da ação de informação, bem como dos bens ou equipamentos necessários à realização das mesmas.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4 - Bens e serviços técnicos especializados - Despesas com bens ou serviços especializados necessários à execução da ação de informação, designadamente, produção de material de divulgação, em suporte físico ou eletrónico, publicitação da ação, bibliografia técnica ou tradutores.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5 - Consultoria, estudos e trabalhos, bem como participação em seminários, colóquios, congressos e outros eventos relevantes, indispensáveis à preparação da ação de informação, até ao máximo de 5 % do valor elegível aprovado para as restantes despesas, com exceção das despesas relativas a custos indiretos.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C) Custos indiretos: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6 - Despesas gerais decorrentes da organização e realização da ação de informação, como despesas com comunicações, eletricidade, água, higiene e segurança das instalações.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Despesas não elegíveis da ação n.º 2.1.4, «Ações de informação»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7 - Despesas com os participantes das ações de informação, designadamente, deslocações, alojamento e alimentação, incluindo ajudas de custo, prestação de serviços de substituição durante a ausência do chefe da exploração agrícola.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8 - Aquisição ou locação financeira de bens móveis ou equipamentos, novos ou em segunda mão, passíveis de amortização nos termos da legislação fiscal.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9 - Contribuições em espécie.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10 - Amortizações de bens e equipamentos.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11 - IVA recuperável nos termos da legislação fiscal.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ANEXO II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Reduções e exclusões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(a que se refere o n.º 2 do artigo 22.º)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1 - O incumprimento das obrigações dos beneficiários, previstas no artigo 10.º da presente portaria e no artigo 24.º do Decreto-Lei n.º 159/2014, de 27 de outubro, determina a aplicação das seguintes reduções ou exclusões: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593F" w:rsidTr="00DA288D">
        <w:tc>
          <w:tcPr>
            <w:tcW w:w="4247" w:type="dxa"/>
          </w:tcPr>
          <w:p w:rsidR="006D593F" w:rsidRDefault="006D593F" w:rsidP="00DA288D">
            <w:pPr>
              <w:pStyle w:val="NormalWeb"/>
              <w:spacing w:after="0" w:line="360" w:lineRule="auto"/>
              <w:jc w:val="center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Obrigações</w:t>
            </w:r>
          </w:p>
        </w:tc>
        <w:tc>
          <w:tcPr>
            <w:tcW w:w="4247" w:type="dxa"/>
          </w:tcPr>
          <w:p w:rsidR="006D593F" w:rsidRDefault="006D593F" w:rsidP="00DA288D">
            <w:pPr>
              <w:pStyle w:val="NormalWeb"/>
              <w:spacing w:after="0" w:line="360" w:lineRule="auto"/>
              <w:jc w:val="center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Consequências do incumprimento</w:t>
            </w:r>
          </w:p>
        </w:tc>
      </w:tr>
      <w:tr w:rsidR="006D593F" w:rsidRPr="00463BB5" w:rsidTr="00DA288D">
        <w:tc>
          <w:tcPr>
            <w:tcW w:w="4247" w:type="dxa"/>
          </w:tcPr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a</w:t>
            </w:r>
            <w:r w:rsidRPr="00463BB5">
              <w:rPr>
                <w:rFonts w:cstheme="minorHAnsi"/>
              </w:rPr>
              <w:t>) Executar a operação nos termos e condições aprovados</w:t>
            </w:r>
            <w:r>
              <w:rPr>
                <w:rFonts w:cstheme="minorHAnsi"/>
              </w:rPr>
              <w:t>.</w:t>
            </w:r>
            <w:r w:rsidRPr="00463BB5">
              <w:rPr>
                <w:rFonts w:cstheme="minorHAnsi"/>
              </w:rPr>
              <w:t xml:space="preserve"> 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b</w:t>
            </w:r>
            <w:r w:rsidRPr="00463BB5">
              <w:rPr>
                <w:rFonts w:cstheme="minorHAnsi"/>
              </w:rPr>
              <w:t>) Cumprir os normativos legais em matéria de contratação pública relativamente à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execução das atividades quando aplicável.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c</w:t>
            </w:r>
            <w:r w:rsidRPr="00463BB5">
              <w:rPr>
                <w:rFonts w:cstheme="minorHAnsi"/>
              </w:rPr>
              <w:t>) Proceder à publicitação dos apoios que lhe forem atribuídos, nos termos da legislação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comunitária e das orientações técnicas do PDR 2020.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d</w:t>
            </w:r>
            <w:r w:rsidRPr="00463BB5">
              <w:rPr>
                <w:rFonts w:cstheme="minorHAnsi"/>
              </w:rPr>
              <w:t>) Manter um sistema de contabilidade organizada ou simplificada, nos termos da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legislação em vigor.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e</w:t>
            </w:r>
            <w:r w:rsidRPr="00463BB5">
              <w:rPr>
                <w:rFonts w:cstheme="minorHAnsi"/>
              </w:rPr>
              <w:t>) Garantir que todos os pagamentos e recebimentos referentes à operação são efetuados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através de conta bancária única, ainda que não exclusiva, do beneficiário,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exceto em situações devidamente justificadas.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f</w:t>
            </w:r>
            <w:r w:rsidRPr="00463BB5">
              <w:rPr>
                <w:rFonts w:cstheme="minorHAnsi"/>
              </w:rPr>
              <w:t>) Dispor de um processo relativo à operação, devidamente organizado nos termos a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definir em OTE, preferencialmente em suporte digital, com toda a documentação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relacionada com a mesma devidamente organizada, incluindo o suporte de um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sistema de contabilidade para todas as transações referentes à operação.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g</w:t>
            </w:r>
            <w:r w:rsidRPr="00463BB5">
              <w:rPr>
                <w:rFonts w:cstheme="minorHAnsi"/>
              </w:rPr>
              <w:t>) Apresentar à autoridade de gestão, nos termos a definir em OTE, relatório final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de execução do plano de ação e, quando o plano de aç</w:t>
            </w:r>
            <w:r>
              <w:rPr>
                <w:rFonts w:cstheme="minorHAnsi"/>
              </w:rPr>
              <w:t xml:space="preserve">ão tenha a duração superior </w:t>
            </w:r>
            <w:r w:rsidRPr="00463BB5">
              <w:rPr>
                <w:rFonts w:cstheme="minorHAnsi"/>
              </w:rPr>
              <w:t>a 24 meses, relatório de progresso 18 meses após o início da operação.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lastRenderedPageBreak/>
              <w:t>h</w:t>
            </w:r>
            <w:r w:rsidRPr="00463BB5">
              <w:rPr>
                <w:rFonts w:cstheme="minorHAnsi"/>
              </w:rPr>
              <w:t>) Permitir o acesso aos locais de realização da operação e àqueles onde se encontrem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os elementos e documentos necessários ao acompanhamento e controlo do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projeto aprovado.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i</w:t>
            </w:r>
            <w:r w:rsidRPr="00463BB5">
              <w:rPr>
                <w:rFonts w:cstheme="minorHAnsi"/>
              </w:rPr>
              <w:t>) Conservar os documentos relativos à realização da operação, sob a forma de documentos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originais ou de cópias autenticadas, em suporte digital, quando legalmente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admissível, ou em papel, durante o prazo de três anos, a contar da data do encerramento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ou da aceitação da Comissão Europeia sobre a declaração de encerramento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do PDR 2020, consoante a fase em que o encerramento da operação tenha sido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incluído, ou pelo prazo fixado na legislação nacional aplicável ou na legislação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específica em matéria de auxílios de Estado, se estas fixarem prazo superior.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j</w:t>
            </w:r>
            <w:r w:rsidRPr="00463BB5">
              <w:rPr>
                <w:rFonts w:cstheme="minorHAnsi"/>
              </w:rPr>
              <w:t>) Assegurar o fornecimento de elementos necessários às atividades de monitorização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e de avaliação da operação e participar em processos de inquirição relacionados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com as mesmas.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  <w:i/>
                <w:iCs/>
              </w:rPr>
              <w:t>k</w:t>
            </w:r>
            <w:r w:rsidRPr="00463BB5">
              <w:rPr>
                <w:rFonts w:cstheme="minorHAnsi"/>
              </w:rPr>
              <w:t>) Adotar comportamentos que respeitem os princípios da</w:t>
            </w:r>
            <w:r>
              <w:rPr>
                <w:rFonts w:cstheme="minorHAnsi"/>
              </w:rPr>
              <w:t xml:space="preserve"> transparência, da concorrência </w:t>
            </w:r>
            <w:r w:rsidRPr="00463BB5">
              <w:rPr>
                <w:rFonts w:cstheme="minorHAnsi"/>
              </w:rPr>
              <w:t>e da boa gestão dos dinheiros públicos, de modo a prevenir situações suscetíveis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de configurar conflito de interesses, designadamente nas relações estabelecidas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entre os beneficiários e os seus fornecedo</w:t>
            </w:r>
            <w:r>
              <w:rPr>
                <w:rFonts w:cstheme="minorHAnsi"/>
              </w:rPr>
              <w:t>res ou prestadores de serviços.</w:t>
            </w:r>
          </w:p>
        </w:tc>
        <w:tc>
          <w:tcPr>
            <w:tcW w:w="4247" w:type="dxa"/>
          </w:tcPr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lastRenderedPageBreak/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numa percentagem de 2 % a 100 %.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de acordo com as orientações da Comissão para determinação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das correções a aplicar às despesas cofinanciadas em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caso de incumprimento das regras de contratos públicos.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463BB5">
              <w:rPr>
                <w:rFonts w:cstheme="minorHAnsi"/>
              </w:rPr>
              <w:t>numa</w:t>
            </w:r>
            <w:proofErr w:type="gramEnd"/>
            <w:r w:rsidRPr="00463BB5">
              <w:rPr>
                <w:rFonts w:cstheme="minorHAnsi"/>
              </w:rPr>
              <w:t xml:space="preserve"> </w:t>
            </w:r>
            <w:proofErr w:type="gramStart"/>
            <w:r w:rsidRPr="00463BB5">
              <w:rPr>
                <w:rFonts w:cstheme="minorHAnsi"/>
              </w:rPr>
              <w:t>percentagem</w:t>
            </w:r>
            <w:proofErr w:type="gramEnd"/>
            <w:r w:rsidRPr="00463BB5">
              <w:rPr>
                <w:rFonts w:cstheme="minorHAnsi"/>
              </w:rPr>
              <w:t xml:space="preserve"> de 5 %.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proofErr w:type="gramStart"/>
            <w:r w:rsidRPr="00463BB5">
              <w:rPr>
                <w:rFonts w:cstheme="minorHAnsi"/>
              </w:rPr>
              <w:t>numa</w:t>
            </w:r>
            <w:proofErr w:type="gramEnd"/>
            <w:r w:rsidRPr="00463BB5">
              <w:rPr>
                <w:rFonts w:cstheme="minorHAnsi"/>
              </w:rPr>
              <w:t xml:space="preserve"> </w:t>
            </w:r>
            <w:proofErr w:type="gramStart"/>
            <w:r w:rsidRPr="00463BB5">
              <w:rPr>
                <w:rFonts w:cstheme="minorHAnsi"/>
              </w:rPr>
              <w:t>percentagem</w:t>
            </w:r>
            <w:proofErr w:type="gramEnd"/>
            <w:r w:rsidRPr="00463BB5">
              <w:rPr>
                <w:rFonts w:cstheme="minorHAnsi"/>
              </w:rPr>
              <w:t xml:space="preserve"> de 5 % a 100 %.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Exclusão dos pagamentos dos apoios, já realizados, relativos à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operação, pagos por uma conta que não a conta única e não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exclusiva, em situações não devidamente justificadas (*).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numa percentagem de 2 % a 100 %.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numa percentagem de 2 % a 100 %.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lastRenderedPageBreak/>
              <w:t>Exclusão dos pagamentos dos apoios já realizados ou a realizar.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numa percentagem de 2 % a 100 %.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numa percentagem de 2 % a 100 %.</w:t>
            </w: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3BB5">
              <w:rPr>
                <w:rFonts w:cstheme="minorHAnsi"/>
              </w:rPr>
              <w:t>Redução dos pagamentos dos apoios, já realizados ou a realizar,</w:t>
            </w:r>
            <w:r>
              <w:rPr>
                <w:rFonts w:cstheme="minorHAnsi"/>
              </w:rPr>
              <w:t xml:space="preserve"> </w:t>
            </w:r>
            <w:r w:rsidRPr="00463BB5">
              <w:rPr>
                <w:rFonts w:cstheme="minorHAnsi"/>
              </w:rPr>
              <w:t>numa percentagem de 2 % a 100 %.</w:t>
            </w: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6D593F" w:rsidRPr="00463BB5" w:rsidRDefault="006D593F" w:rsidP="00DA28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D593F" w:rsidRPr="00FE04B4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FE04B4">
        <w:rPr>
          <w:rFonts w:asciiTheme="minorHAnsi" w:hAnsiTheme="minorHAnsi" w:cstheme="minorHAnsi"/>
          <w:sz w:val="22"/>
          <w:szCs w:val="22"/>
        </w:rPr>
        <w:lastRenderedPageBreak/>
        <w:t>(*) Na aceção do n.º 3 do artigo 35.º do Regulamento Delegado (UE) n.º 640/2014, da Comissão, de 11 de março de 2014.</w:t>
      </w:r>
    </w:p>
    <w:p w:rsid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2 - O disposto no número anterior não prejudica, designadamente, a aplicação: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a) Do mecanismo de suspensão do apoio, previsto no artigo 36.º do Regulamento Delegado (UE) n.º </w:t>
      </w:r>
      <w:hyperlink r:id="rId18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640/2014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da Comissão, de 11 de março de 2014;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b) Da exclusão prevista, designadamente, nas alíneas a) a f) do n.º 2 do artigo 64.º do </w:t>
      </w:r>
      <w:hyperlink r:id="rId19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Regulamento (UE) n.º 1306/2013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do Parlamento Europeu e do Conselho, de 17 de dezembro de 2013;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>c) Dos n.</w:t>
      </w:r>
      <w:r>
        <w:rPr>
          <w:rFonts w:asciiTheme="minorHAnsi" w:hAnsiTheme="minorHAnsi" w:cstheme="minorHAnsi"/>
          <w:sz w:val="22"/>
          <w:szCs w:val="22"/>
        </w:rPr>
        <w:t>º</w:t>
      </w:r>
      <w:r w:rsidRPr="006E7140">
        <w:rPr>
          <w:rFonts w:asciiTheme="minorHAnsi" w:hAnsiTheme="minorHAnsi" w:cstheme="minorHAnsi"/>
          <w:sz w:val="22"/>
          <w:szCs w:val="22"/>
        </w:rPr>
        <w:t xml:space="preserve">s 1, 5 e 6 do artigo 35.º do Regulamento Delegado (UE) n.º </w:t>
      </w:r>
      <w:hyperlink r:id="rId20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640/2014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da Comissão, de 11 de março de 2014;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d) Do artigo 63.º do Regulamento de Execução (UE) n.º </w:t>
      </w:r>
      <w:hyperlink r:id="rId21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809/2014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da Comissão, de 17 de julho de 2014;</w:t>
      </w:r>
    </w:p>
    <w:p w:rsidR="006D593F" w:rsidRPr="006E7140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lastRenderedPageBreak/>
        <w:t>e) De outras cominações, designadamente de natureza penal, que, ao caso, couberem.</w:t>
      </w:r>
    </w:p>
    <w:p w:rsidR="00F66F7F" w:rsidRPr="006D593F" w:rsidRDefault="006D593F" w:rsidP="006D593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E7140">
        <w:rPr>
          <w:rFonts w:asciiTheme="minorHAnsi" w:hAnsiTheme="minorHAnsi" w:cstheme="minorHAnsi"/>
          <w:sz w:val="22"/>
          <w:szCs w:val="22"/>
        </w:rPr>
        <w:t xml:space="preserve">3 - A medida concreta das reduções previstas no n.º 1 é determinada em função da gravidade, extensão, duração e recorrência do incumprimento, nos termos previstos no n.º 3 do artigo 35.º do Regulamento Delegado (UE) n.º </w:t>
      </w:r>
      <w:hyperlink r:id="rId22" w:tgtFrame="_blank" w:tooltip="Link para Regulamento da União Europeia" w:history="1">
        <w:r w:rsidRPr="006E7140">
          <w:rPr>
            <w:rFonts w:asciiTheme="minorHAnsi" w:hAnsiTheme="minorHAnsi" w:cstheme="minorHAnsi"/>
            <w:sz w:val="22"/>
            <w:szCs w:val="22"/>
          </w:rPr>
          <w:t>640/2014</w:t>
        </w:r>
      </w:hyperlink>
      <w:r w:rsidRPr="006E7140">
        <w:rPr>
          <w:rFonts w:asciiTheme="minorHAnsi" w:hAnsiTheme="minorHAnsi" w:cstheme="minorHAnsi"/>
          <w:sz w:val="22"/>
          <w:szCs w:val="22"/>
        </w:rPr>
        <w:t>, da Comissão, de 11 de março de 2014, com base em grelha de ponderação, a divulgar no portal do PDR 2020, em www.pdr-2020.pt, e no portal do IFAP, em www.ifap.pt.</w:t>
      </w:r>
    </w:p>
    <w:sectPr w:rsidR="00F66F7F" w:rsidRPr="006D5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67" w:rsidRDefault="00146467" w:rsidP="006D593F">
      <w:pPr>
        <w:spacing w:after="0" w:line="240" w:lineRule="auto"/>
      </w:pPr>
      <w:r>
        <w:separator/>
      </w:r>
    </w:p>
  </w:endnote>
  <w:endnote w:type="continuationSeparator" w:id="0">
    <w:p w:rsidR="00146467" w:rsidRDefault="00146467" w:rsidP="006D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67" w:rsidRDefault="00146467" w:rsidP="006D593F">
      <w:pPr>
        <w:spacing w:after="0" w:line="240" w:lineRule="auto"/>
      </w:pPr>
      <w:r>
        <w:separator/>
      </w:r>
    </w:p>
  </w:footnote>
  <w:footnote w:type="continuationSeparator" w:id="0">
    <w:p w:rsidR="00146467" w:rsidRDefault="00146467" w:rsidP="006D593F">
      <w:pPr>
        <w:spacing w:after="0" w:line="240" w:lineRule="auto"/>
      </w:pPr>
      <w:r>
        <w:continuationSeparator/>
      </w:r>
    </w:p>
  </w:footnote>
  <w:footnote w:id="1">
    <w:p w:rsidR="0023215C" w:rsidRDefault="0023215C">
      <w:pPr>
        <w:pStyle w:val="Textodenotaderodap"/>
      </w:pPr>
      <w:r>
        <w:rPr>
          <w:rStyle w:val="Refdenotaderodap"/>
        </w:rPr>
        <w:footnoteRef/>
      </w:r>
      <w:r>
        <w:t xml:space="preserve"> Versão consolidada pelas alterações dadas pela Portaria n.º 249/2016, de 15 de setembro, Portaria n.º 46/2018, de 12 de fevereiro e Portaria n.º 303/2018, de 26 de novembro. </w:t>
      </w:r>
    </w:p>
  </w:footnote>
  <w:footnote w:id="2">
    <w:p w:rsidR="006D593F" w:rsidRDefault="006D593F" w:rsidP="006D59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51F06">
        <w:rPr>
          <w:sz w:val="18"/>
          <w:szCs w:val="18"/>
        </w:rPr>
        <w:t>A alínea k) foi introduzida com a alteração dada pela Portaria n.º 303/2018, de 26 de Novembro.</w:t>
      </w:r>
      <w:r>
        <w:t xml:space="preserve"> </w:t>
      </w:r>
    </w:p>
  </w:footnote>
  <w:footnote w:id="3">
    <w:p w:rsidR="006D593F" w:rsidRDefault="006D593F" w:rsidP="006D59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51F06">
        <w:rPr>
          <w:sz w:val="18"/>
          <w:szCs w:val="18"/>
        </w:rPr>
        <w:t>O n.º 2 foi aditado com a alteração dada pela Portaria n.º 303/2018, de 26 de Novembro.</w:t>
      </w:r>
      <w:r>
        <w:t xml:space="preserve"> </w:t>
      </w:r>
    </w:p>
  </w:footnote>
  <w:footnote w:id="4">
    <w:p w:rsidR="006D593F" w:rsidRDefault="006D593F" w:rsidP="006D593F">
      <w:pPr>
        <w:pStyle w:val="NormalWeb"/>
        <w:shd w:val="clear" w:color="auto" w:fill="FFFFFF"/>
        <w:spacing w:after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463BB5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463BB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Revogado pela Portaria n.º 46/2018, de 12 de fevereiro, este artigo tinha um n.º 1 </w:t>
      </w:r>
      <w:r w:rsidRPr="00420F7F">
        <w:rPr>
          <w:rFonts w:asciiTheme="minorHAnsi" w:hAnsiTheme="minorHAnsi" w:cstheme="minorHAnsi"/>
          <w:sz w:val="18"/>
          <w:szCs w:val="18"/>
        </w:rPr>
        <w:t>introduzid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420F7F">
        <w:rPr>
          <w:rFonts w:asciiTheme="minorHAnsi" w:hAnsiTheme="minorHAnsi" w:cstheme="minorHAnsi"/>
          <w:sz w:val="18"/>
          <w:szCs w:val="18"/>
        </w:rPr>
        <w:t xml:space="preserve"> pela Portaria n.º 249/2016, de 15 de setembro</w:t>
      </w:r>
      <w:r>
        <w:rPr>
          <w:rFonts w:asciiTheme="minorHAnsi" w:hAnsiTheme="minorHAnsi" w:cstheme="minorHAnsi"/>
          <w:sz w:val="18"/>
          <w:szCs w:val="18"/>
        </w:rPr>
        <w:t>, apresentando a seguinte redação:</w:t>
      </w:r>
    </w:p>
    <w:p w:rsidR="006D593F" w:rsidRPr="003C7391" w:rsidRDefault="006D593F" w:rsidP="006D593F">
      <w:pPr>
        <w:pStyle w:val="NormalWeb"/>
        <w:shd w:val="clear" w:color="auto" w:fill="FFFFFF"/>
        <w:spacing w:after="0"/>
        <w:jc w:val="center"/>
        <w:textAlignment w:val="top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Artigo 15</w:t>
      </w:r>
      <w:r w:rsidRPr="003C7391">
        <w:rPr>
          <w:rFonts w:asciiTheme="minorHAnsi" w:hAnsiTheme="minorHAnsi" w:cstheme="minorHAnsi"/>
          <w:sz w:val="18"/>
          <w:szCs w:val="18"/>
        </w:rPr>
        <w:t>.º</w:t>
      </w:r>
    </w:p>
    <w:p w:rsidR="006D593F" w:rsidRPr="003C7391" w:rsidRDefault="006D593F" w:rsidP="006D593F">
      <w:pPr>
        <w:pStyle w:val="NormalWeb"/>
        <w:shd w:val="clear" w:color="auto" w:fill="FFFFFF"/>
        <w:spacing w:after="0"/>
        <w:jc w:val="center"/>
        <w:textAlignment w:val="top"/>
        <w:rPr>
          <w:rFonts w:asciiTheme="minorHAnsi" w:hAnsiTheme="minorHAnsi" w:cstheme="minorHAnsi"/>
          <w:sz w:val="18"/>
          <w:szCs w:val="18"/>
        </w:rPr>
      </w:pPr>
      <w:r w:rsidRPr="003C7391">
        <w:rPr>
          <w:rFonts w:asciiTheme="minorHAnsi" w:hAnsiTheme="minorHAnsi" w:cstheme="minorHAnsi"/>
          <w:sz w:val="18"/>
          <w:szCs w:val="18"/>
        </w:rPr>
        <w:t>Transição das candidaturas</w:t>
      </w:r>
    </w:p>
    <w:p w:rsidR="006D593F" w:rsidRPr="003C7391" w:rsidRDefault="006D593F" w:rsidP="006D593F">
      <w:pPr>
        <w:pStyle w:val="NormalWeb"/>
        <w:shd w:val="clear" w:color="auto" w:fill="FFFFFF"/>
        <w:spacing w:after="0"/>
        <w:ind w:left="567" w:right="567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3C7391">
        <w:rPr>
          <w:rFonts w:asciiTheme="minorHAnsi" w:hAnsiTheme="minorHAnsi" w:cstheme="minorHAnsi"/>
          <w:sz w:val="18"/>
          <w:szCs w:val="18"/>
        </w:rPr>
        <w:t>1 - As candidaturas que tenham obtido classificação igual ou superior à pontuação mínima necessária para seleção das operações e para as quais não tenha existido dotação orçamental, transitam para o período de apresentação de candidaturas seguinte, no qual são analisadas e hierarquizadas de acordo com os critérios de seleção desse novo período.</w:t>
      </w:r>
    </w:p>
    <w:p w:rsidR="006D593F" w:rsidRPr="003C7391" w:rsidRDefault="006D593F" w:rsidP="006D593F">
      <w:pPr>
        <w:pStyle w:val="NormalWeb"/>
        <w:shd w:val="clear" w:color="auto" w:fill="FFFFFF"/>
        <w:spacing w:after="0"/>
        <w:ind w:left="567" w:right="567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3C7391">
        <w:rPr>
          <w:rFonts w:asciiTheme="minorHAnsi" w:hAnsiTheme="minorHAnsi" w:cstheme="minorHAnsi"/>
          <w:sz w:val="18"/>
          <w:szCs w:val="18"/>
        </w:rPr>
        <w:t>2 - A transição referida no número anterior é aplicável em dois períodos consecutivos, findos os quais a candidatura é indeferida.</w:t>
      </w:r>
    </w:p>
    <w:p w:rsidR="006D593F" w:rsidRDefault="006D593F" w:rsidP="006D593F">
      <w:pPr>
        <w:pStyle w:val="Textodenotaderodap"/>
      </w:pPr>
      <w:r>
        <w:rPr>
          <w:rFonts w:cstheme="minorHAnsi"/>
          <w:sz w:val="18"/>
          <w:szCs w:val="18"/>
        </w:rPr>
        <w:t xml:space="preserve">Na versão original, o n.º 1 apresentava a seguinte </w:t>
      </w:r>
      <w:r w:rsidRPr="00420F7F">
        <w:rPr>
          <w:rFonts w:cstheme="minorHAnsi"/>
          <w:sz w:val="18"/>
          <w:szCs w:val="18"/>
        </w:rPr>
        <w:t>redação: 1 - As candidaturas que tenham sido objeto de parecer favorável e que não tenham sido aprovadas por razões de insuficiência orçamental transitam para o período de apresentação de candidaturas seguinte, sendo sujeitas à aplicação dos critérios de seleção deste novo período.</w:t>
      </w:r>
    </w:p>
  </w:footnote>
  <w:footnote w:id="5">
    <w:p w:rsidR="006D593F" w:rsidRDefault="006D593F" w:rsidP="00036B7E">
      <w:pPr>
        <w:jc w:val="both"/>
      </w:pPr>
      <w:r>
        <w:rPr>
          <w:rStyle w:val="Refdenotaderodap"/>
        </w:rPr>
        <w:footnoteRef/>
      </w:r>
      <w:r>
        <w:t xml:space="preserve"> </w:t>
      </w:r>
      <w:r w:rsidRPr="00036B7E">
        <w:rPr>
          <w:rFonts w:eastAsia="Times New Roman" w:cstheme="minorHAnsi"/>
          <w:sz w:val="18"/>
          <w:szCs w:val="18"/>
          <w:lang w:eastAsia="pt-PT"/>
        </w:rPr>
        <w:t xml:space="preserve">Redação introduzida pela Portaria n.º 303/2018, de 26 de novembro. </w:t>
      </w:r>
      <w:r w:rsidR="00BD301E">
        <w:rPr>
          <w:rFonts w:eastAsia="Times New Roman" w:cstheme="minorHAnsi"/>
          <w:sz w:val="18"/>
          <w:szCs w:val="18"/>
          <w:lang w:eastAsia="pt-PT"/>
        </w:rPr>
        <w:t xml:space="preserve">A redação original era “4 - </w:t>
      </w:r>
      <w:r w:rsidR="00BD301E" w:rsidRPr="00036B7E">
        <w:rPr>
          <w:rFonts w:cstheme="minorHAnsi"/>
          <w:sz w:val="18"/>
          <w:szCs w:val="18"/>
        </w:rPr>
        <w:t xml:space="preserve">Podem ser apresentados anualmente até </w:t>
      </w:r>
      <w:r w:rsidR="00BD301E">
        <w:rPr>
          <w:rFonts w:cstheme="minorHAnsi"/>
          <w:sz w:val="18"/>
          <w:szCs w:val="18"/>
        </w:rPr>
        <w:t>três</w:t>
      </w:r>
      <w:bookmarkStart w:id="0" w:name="_GoBack"/>
      <w:bookmarkEnd w:id="0"/>
      <w:r w:rsidR="00BD301E" w:rsidRPr="00036B7E">
        <w:rPr>
          <w:rFonts w:cstheme="minorHAnsi"/>
          <w:sz w:val="18"/>
          <w:szCs w:val="18"/>
        </w:rPr>
        <w:t xml:space="preserve"> pedidos de pagamento por candidatura aprovada, não incluindo o pedido de pagamento a título de adiantamento.</w:t>
      </w:r>
      <w:r w:rsidR="00BD301E">
        <w:rPr>
          <w:rFonts w:cstheme="minorHAnsi"/>
          <w:sz w:val="18"/>
          <w:szCs w:val="18"/>
        </w:rPr>
        <w:t xml:space="preserve">” </w:t>
      </w:r>
      <w:r w:rsidR="00036B7E" w:rsidRPr="00036B7E">
        <w:rPr>
          <w:rFonts w:ascii="Calibri" w:hAnsi="Calibri" w:cs="Calibri"/>
          <w:sz w:val="18"/>
          <w:szCs w:val="18"/>
        </w:rPr>
        <w:t>Relativamente ao número de pedidos, pode interpretar-se com segurança (e sem necessidade de retificação) que se pretendeu introduzir mais um pedido de pagamento (à semelhança do que se faz no resto da</w:t>
      </w:r>
      <w:r w:rsidR="00036B7E" w:rsidRPr="00036B7E">
        <w:rPr>
          <w:rFonts w:ascii="Calibri" w:hAnsi="Calibri" w:cs="Calibri"/>
          <w:sz w:val="18"/>
          <w:szCs w:val="18"/>
        </w:rPr>
        <w:t>quela</w:t>
      </w:r>
      <w:r w:rsidR="00036B7E" w:rsidRPr="00036B7E">
        <w:rPr>
          <w:rFonts w:ascii="Calibri" w:hAnsi="Calibri" w:cs="Calibri"/>
          <w:sz w:val="18"/>
          <w:szCs w:val="18"/>
        </w:rPr>
        <w:t xml:space="preserve"> portaria), pelo que se deve continuar a interpretar </w:t>
      </w:r>
      <w:r w:rsidR="00036B7E" w:rsidRPr="00036B7E">
        <w:rPr>
          <w:rFonts w:ascii="Calibri" w:hAnsi="Calibri" w:cs="Calibri"/>
          <w:sz w:val="18"/>
          <w:szCs w:val="18"/>
        </w:rPr>
        <w:t xml:space="preserve">(de forma corretiva) </w:t>
      </w:r>
      <w:r w:rsidR="00036B7E" w:rsidRPr="00036B7E">
        <w:rPr>
          <w:rFonts w:ascii="Calibri" w:hAnsi="Calibri" w:cs="Calibri"/>
          <w:sz w:val="18"/>
          <w:szCs w:val="18"/>
        </w:rPr>
        <w:t>o número referido como “anualmente”</w:t>
      </w:r>
      <w:r w:rsidR="00036B7E" w:rsidRPr="00036B7E">
        <w:rPr>
          <w:rFonts w:ascii="Calibri" w:hAnsi="Calibri" w:cs="Calibri"/>
          <w:sz w:val="18"/>
          <w:szCs w:val="18"/>
        </w:rPr>
        <w:t>, ou seja, como se estivesse escrito “</w:t>
      </w:r>
      <w:r w:rsidR="00036B7E" w:rsidRPr="00036B7E">
        <w:rPr>
          <w:rFonts w:cstheme="minorHAnsi"/>
          <w:sz w:val="18"/>
          <w:szCs w:val="18"/>
        </w:rPr>
        <w:t>Podem ser apresentados anualmente até quatro pedidos de pagamento por candidatura aprovada, não incluindo o pedido de pagamento a título de adiantamento</w:t>
      </w:r>
      <w:r w:rsidR="00036B7E" w:rsidRPr="00036B7E">
        <w:rPr>
          <w:rFonts w:cstheme="minorHAnsi"/>
          <w:sz w:val="18"/>
          <w:szCs w:val="18"/>
        </w:rPr>
        <w:t>.”</w:t>
      </w:r>
    </w:p>
  </w:footnote>
  <w:footnote w:id="6">
    <w:p w:rsidR="006D593F" w:rsidRDefault="006D593F" w:rsidP="006D59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20F7F">
        <w:rPr>
          <w:sz w:val="18"/>
          <w:szCs w:val="18"/>
        </w:rPr>
        <w:t>Redação introduzida pela Portaria n.º 46/2018, de 12 de fevereiro.</w:t>
      </w:r>
    </w:p>
  </w:footnote>
  <w:footnote w:id="7">
    <w:p w:rsidR="006D593F" w:rsidRDefault="006D593F" w:rsidP="006D59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20F7F">
        <w:rPr>
          <w:sz w:val="18"/>
          <w:szCs w:val="18"/>
        </w:rPr>
        <w:t>Redação introduzida pela Portaria n.º 46/2018, de 12 de fevereiro.</w:t>
      </w:r>
    </w:p>
  </w:footnote>
  <w:footnote w:id="8">
    <w:p w:rsidR="006D593F" w:rsidRDefault="006D593F" w:rsidP="006D59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20F7F">
        <w:rPr>
          <w:sz w:val="18"/>
          <w:szCs w:val="18"/>
        </w:rPr>
        <w:t>Corresponde ao n.º 4 da versão original do artigo.</w:t>
      </w:r>
    </w:p>
  </w:footnote>
  <w:footnote w:id="9">
    <w:p w:rsidR="006D593F" w:rsidRDefault="006D593F" w:rsidP="006D593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13C26">
        <w:rPr>
          <w:sz w:val="18"/>
          <w:szCs w:val="18"/>
        </w:rPr>
        <w:t xml:space="preserve">Aditado com a redação introduzida pela Portaria n.º 303/2018, de 26 de novembro.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F"/>
    <w:rsid w:val="00036B7E"/>
    <w:rsid w:val="00146467"/>
    <w:rsid w:val="00226D63"/>
    <w:rsid w:val="0023215C"/>
    <w:rsid w:val="00567F1E"/>
    <w:rsid w:val="006D593F"/>
    <w:rsid w:val="00BD301E"/>
    <w:rsid w:val="00E6217B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3CD9-8457-4458-8A1B-F01D213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3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93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D593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D593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D593F"/>
    <w:rPr>
      <w:vertAlign w:val="superscript"/>
    </w:rPr>
  </w:style>
  <w:style w:type="table" w:styleId="Tabelacomgrelha">
    <w:name w:val="Table Grid"/>
    <w:basedOn w:val="Tabelanormal"/>
    <w:uiPriority w:val="39"/>
    <w:rsid w:val="006D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external/eurolex?14R0702" TargetMode="External"/><Relationship Id="rId13" Type="http://schemas.openxmlformats.org/officeDocument/2006/relationships/hyperlink" Target="https://dre.pt/application/external/eurolex?14R0809" TargetMode="External"/><Relationship Id="rId18" Type="http://schemas.openxmlformats.org/officeDocument/2006/relationships/hyperlink" Target="https://dre.pt/application/external/eurolex?14R06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e.pt/application/external/eurolex?14R0809" TargetMode="External"/><Relationship Id="rId7" Type="http://schemas.openxmlformats.org/officeDocument/2006/relationships/hyperlink" Target="https://dre.pt/application/external/eurolex?13R1379" TargetMode="External"/><Relationship Id="rId12" Type="http://schemas.openxmlformats.org/officeDocument/2006/relationships/hyperlink" Target="https://dre.pt/application/external/eurolex?14R0640" TargetMode="External"/><Relationship Id="rId17" Type="http://schemas.openxmlformats.org/officeDocument/2006/relationships/hyperlink" Target="https://dre.pt/application/external/eurolex?14R0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e.pt/application/external/eurolex?14R0809" TargetMode="External"/><Relationship Id="rId20" Type="http://schemas.openxmlformats.org/officeDocument/2006/relationships/hyperlink" Target="https://dre.pt/application/external/eurolex?14R064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e.pt/application/external/eurolex?13R130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e.pt/application/external/eurolex?14R06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e.pt/application/external/eurolex?13R1306" TargetMode="External"/><Relationship Id="rId19" Type="http://schemas.openxmlformats.org/officeDocument/2006/relationships/hyperlink" Target="https://dre.pt/application/external/eurolex?13R1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application/external/eurolex?14R0702" TargetMode="External"/><Relationship Id="rId14" Type="http://schemas.openxmlformats.org/officeDocument/2006/relationships/hyperlink" Target="https://dre.pt/application/external/eurolex?13R1306" TargetMode="External"/><Relationship Id="rId22" Type="http://schemas.openxmlformats.org/officeDocument/2006/relationships/hyperlink" Target="https://dre.pt/application/external/eurolex?14R064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9716-ED63-4571-872A-DAB19AC3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5365</Words>
  <Characters>28977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Alexandre Sousa</dc:creator>
  <cp:keywords/>
  <dc:description/>
  <cp:lastModifiedBy>Pedro Mota</cp:lastModifiedBy>
  <cp:revision>2</cp:revision>
  <dcterms:created xsi:type="dcterms:W3CDTF">2019-03-26T12:11:00Z</dcterms:created>
  <dcterms:modified xsi:type="dcterms:W3CDTF">2019-03-26T12:11:00Z</dcterms:modified>
</cp:coreProperties>
</file>